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567—102.704</w:t>
      </w:r>
      <w:r>
        <w:rPr>
          <w:rFonts w:ascii="Times New Roman" w:hAnsi="Times New Roman"/>
          <w:b/>
          <w:i w:val="false"/>
          <w:color w:val="000000"/>
          <w:sz w:val="22"/>
        </w:rPr>
        <w:t xml:space="preserve">(455D) </w:t>
      </w:r>
      <w:r>
        <w:rPr>
          <w:rFonts w:ascii="Times New Roman" w:hAnsi="Times New Roman"/>
          <w:b/>
          <w:i w:val="false"/>
          <w:color w:val="000000"/>
          <w:sz w:val="22"/>
        </w:rPr>
        <w:t xml:space="preserve">Registration for CRT collection facilities. </w:t>
      </w:r>
      <w:r>
        <w:rPr>
          <w:rFonts w:ascii="Times New Roman" w:hAnsi="Times New Roman"/>
          <w:b w:val="false"/>
          <w:i w:val="false"/>
          <w:color w:val="000000"/>
          <w:sz w:val="22"/>
        </w:rPr>
        <w:t>A CRT collection facility shall register with the department using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102.704(1)</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shall include proof of the applicant’s ownership of the property or legal entitlement to use the property for CRT collection. If the facility is leased, the application shall also include a statement, signed by the property owner, stating that the property owner is aware that CRT collection is taking place at the site and that the property owner may be held liable for wastes abandoned at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102.704(2)</w:t>
      </w:r>
      <w:r>
        <w:rPr>
          <w:rFonts w:ascii="Times New Roman" w:hAnsi="Times New Roman"/>
          <w:b w:val="false"/>
          <w:i w:val="false"/>
          <w:color w:val="000000"/>
          <w:sz w:val="22"/>
        </w:rPr>
        <w:t> </w:t>
      </w:r>
      <w:r>
        <w:rPr>
          <w:rFonts w:ascii="Times New Roman" w:hAnsi="Times New Roman"/>
          <w:b w:val="false"/>
          <w:i w:val="false"/>
          <w:color w:val="000000"/>
          <w:sz w:val="22"/>
        </w:rPr>
        <w:t>Registration will expire March 1 of each year if renewal has not been made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102.704(3)</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registration renewal occurs by complying with the reporting requirements in </w:t>
      </w:r>
      <w:hyperlink r:id="rId4">
        <w:r>
          <w:rPr>
            <w:rStyle w:val="Hyperlink"/>
            <w:rFonts w:ascii="Times New Roman" w:hAnsi="Times New Roman"/>
            <w:b w:val="false"/>
            <w:i w:val="false"/>
            <w:color w:val="000000"/>
            <w:sz w:val="22"/>
          </w:rPr>
          <w:t>567—102.710</w:t>
        </w:r>
      </w:hyperlink>
      <w:r>
        <w:rPr>
          <w:rFonts w:ascii="Times New Roman" w:hAnsi="Times New Roman"/>
          <w:b w:val="false"/>
          <w:i w:val="false"/>
          <w:color w:val="000000"/>
          <w:sz w:val="22"/>
        </w:rPr>
        <w:t>(455D). Once a complete report is received and confirmed complete in writing by the department, the facility’s registration will be renewed until March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102.704(4)</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or revoke CRT collection facility registration if one or more of the following is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violation of a requirement of this division, including but not limited to failing to submit accurate and timely reports as required in </w:t>
      </w:r>
      <w:hyperlink r:id="rId5">
        <w:r>
          <w:rPr>
            <w:rStyle w:val="Hyperlink"/>
            <w:rFonts w:ascii="Times New Roman" w:hAnsi="Times New Roman"/>
            <w:b w:val="false"/>
            <w:i w:val="false"/>
            <w:color w:val="000000"/>
            <w:sz w:val="22"/>
          </w:rPr>
          <w:t>567—102.710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or was a misrepresentation made in obtaining a registration or registration renewal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fails to correct a condition as agreed to in an agreed order with the department or fails to come into compliance with this division within the time frame established in the agreed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has lost legal entitlement to use the property identified in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notice to the department by the permittee that the permittee no longer wishes to retain the registration for future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710.pdf" Type="http://schemas.openxmlformats.org/officeDocument/2006/relationships/hyperlink" Id="rId4"/>
    <Relationship TargetMode="External" Target="https://www.legis.iowa.gov/docs/iac/rule/567.102.7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