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Short-term CRT collection events.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short-term CRT collection events shall be conducted in a manner that complies with this rule. Short-term CRT collection event organizers are not required to register the event as a CRT collection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one week of collection, all discarded CRTs and CRT glass shall be transported to a properly permitted CRT recycling facility or registered CRT collection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During the period between collection and transport, all broken CRTs and CRT glass shall be stored in one of the following ways: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 fully enclosed building with a roof, floor, and walls,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 container that is constructed, filled, and closed to minimize releases to the environment of CRT glass (including fine solid materials).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During the period between collection and transport, intact discarded CRTs shall be stored in one of the following ways: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 fully enclosed building with a roof, floor, and walls,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 secure container (e.g., package or vehicle) that is constructed and maintained to minimize breakage of electronic waste and to prevent releases of hazardous materials to the environment.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