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567—102.700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purpose of this division is to implement rules for the recycling of discarded CRTs and the disassembly and removal of toxic parts from discarded CRTs in a manner that is safe for human health and the environment.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