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Spills.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Any spills from leaking or cracked capacitors must be handled by placing the capacitor and any contaminated rags, clothing, and soil into a container for shipment to an EPA-approved waste disposal facility. Spills of liquid PCBs that occur outside a DOT-approved container must be cleaned and the cleanup verified by sampling as described at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761.130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3, 2025. Detailed records of such cleanups and sampling must be maintained as described at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40 CFR 761.180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March 3, 2025.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Mercury spill kits (with a mercury absorbent in the kits) must be on hand and used in the event of a mercury spill. Any waste from the cleanup of a mercury spill must be disposed of as a hazardous waste.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102.610(3)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the event a spill results in a hazardous condition, the facility must follow the requirements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567—Chapter 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Division I.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0483D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9/23/26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567.105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