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Mercury-containing component removal and disposal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components containing mercury shall be removed from appliances. Precautions shall be taken to prevent breakage of the mercury-containing components and the release of mercury.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mercury-containing component storage containers must be labeled with the proper EPA-approved mercury label stating: “Universal Waste—Mercury Containing Equipment” or “Waste Mercury-Containing Equipment” or “Used Mercury-Containing Equipment” in both English and the predominant language of any non-English-reading workers.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when the first mercury-containing component was placed in the container shall be affixed to the container.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Mercury-containing components may be stored for no longer than one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Accumulation of mercury-containing components shall not exceed 5,000 kg (11,025 lbs) at any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mercury containers must be sealed prior to shipment.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components containing mercury must be disposed of at an EPA-approved mercury recycling/recovery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Fluorescent tubes, lamps, bulbs, and similar items must be placed in a container and packaged to prevent breakage for shipment to an EPA-approved recycler or must be processed in a manner that complies with state and federal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102.608(9)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mercury-containing components must be managed in accordance with 40 CFR 273 as amended March 3, 2025, and all state and federal regulations.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