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567—102.605</w:t>
      </w:r>
      <w:r>
        <w:rPr>
          <w:rFonts w:ascii="Times New Roman" w:hAnsi="Times New Roman"/>
          <w:b/>
          <w:i w:val="false"/>
          <w:color w:val="000000"/>
          <w:sz w:val="22"/>
        </w:rPr>
        <w:t xml:space="preserve">(455D) </w:t>
      </w:r>
      <w:r>
        <w:rPr>
          <w:rFonts w:ascii="Times New Roman" w:hAnsi="Times New Roman"/>
          <w:b/>
          <w:i w:val="false"/>
          <w:color w:val="000000"/>
          <w:sz w:val="22"/>
        </w:rPr>
        <w:t xml:space="preserve">Operations. </w:t>
      </w:r>
      <w:r>
        <w:rPr>
          <w:rFonts w:ascii="Times New Roman" w:hAnsi="Times New Roman"/>
          <w:b w:val="false"/>
          <w:i w:val="false"/>
          <w:color w:val="000000"/>
          <w:sz w:val="22"/>
        </w:rPr>
        <w:t>The following removal and disposal requirements must be met by both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102.605(1)</w:t>
      </w:r>
      <w:r>
        <w:rPr>
          <w:rFonts w:ascii="Times New Roman" w:hAnsi="Times New Roman"/>
          <w:b w:val="false"/>
          <w:i w:val="false"/>
          <w:color w:val="000000"/>
          <w:sz w:val="22"/>
        </w:rPr>
        <w:t> </w:t>
      </w:r>
      <w:r>
        <w:rPr>
          <w:rFonts w:ascii="Times New Roman" w:hAnsi="Times New Roman"/>
          <w:b w:val="false"/>
          <w:i w:val="false"/>
          <w:color w:val="000000"/>
          <w:sz w:val="22"/>
        </w:rPr>
        <w:t>Demanufacturing of appliances must take place on an impervious floor, including but not limited to concrete, ceramic tile, or metal, but not including wood. Any spills must be contained and picked up with proper equipment and procedures and be disposed of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102.605(2)</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at least 50 feet from a well and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102.605(3)</w:t>
      </w:r>
      <w:r>
        <w:rPr>
          <w:rFonts w:ascii="Times New Roman" w:hAnsi="Times New Roman"/>
          <w:b w:val="false"/>
          <w:i w:val="false"/>
          <w:color w:val="000000"/>
          <w:sz w:val="22"/>
        </w:rPr>
        <w:t> </w:t>
      </w:r>
      <w:r>
        <w:rPr>
          <w:rFonts w:ascii="Times New Roman" w:hAnsi="Times New Roman"/>
          <w:b w:val="false"/>
          <w:i w:val="false"/>
          <w:color w:val="000000"/>
          <w:sz w:val="22"/>
        </w:rPr>
        <w:t>The facility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102.605(4)</w:t>
      </w:r>
      <w:r>
        <w:rPr>
          <w:rFonts w:ascii="Times New Roman" w:hAnsi="Times New Roman"/>
          <w:b w:val="false"/>
          <w:i w:val="false"/>
          <w:color w:val="000000"/>
          <w:sz w:val="22"/>
        </w:rPr>
        <w:t> </w:t>
      </w:r>
      <w:r>
        <w:rPr>
          <w:rFonts w:ascii="Times New Roman" w:hAnsi="Times New Roman"/>
          <w:b w:val="false"/>
          <w:i w:val="false"/>
          <w:color w:val="000000"/>
          <w:sz w:val="22"/>
        </w:rPr>
        <w:t>A permanent facility must meet local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102.605(5)</w:t>
      </w:r>
      <w:r>
        <w:rPr>
          <w:rFonts w:ascii="Times New Roman" w:hAnsi="Times New Roman"/>
          <w:b w:val="false"/>
          <w:i w:val="false"/>
          <w:color w:val="000000"/>
          <w:sz w:val="22"/>
        </w:rPr>
        <w:t> </w:t>
      </w:r>
      <w:r>
        <w:rPr>
          <w:rFonts w:ascii="Times New Roman" w:hAnsi="Times New Roman"/>
          <w:b w:val="false"/>
          <w:i w:val="false"/>
          <w:color w:val="000000"/>
          <w:sz w:val="22"/>
        </w:rPr>
        <w:t>Every operation must have a unique mark that signifies all refrigerants, PCB-containing articles, and mercury-containing components have been removed. The unique mark must be a minimum of nine inches by nine inches. The unique mark must be applied to appliances after demanufacturing.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