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Appliance demanufacturing permits.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Permit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must obtain a Solid Waste Management permit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567—subrule 100.4(2)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appliance demanufacturing from the department before conducting any demanufacturing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Types of permits.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may request a permit that excludes appliances that contain a particular type of material (e.g., refrigerants, sodium chromate, PCBs, or mercury switches). Persons may not demanufacture or place their unique mark on an appliance that once contained a material that is excluded from their permit. An appliance demanufacturing facility must clearly post the types of appliances the facility does not accept.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Permits may be issued for both fixed facilities and mobile operations.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Factors in permit issuance decisions.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may request that additional information be submitted for review to make a permit issuance decision. The department may review and inspect the facility, its agents and operators, and compliance history. The department may review whether a good-faith effort to maintain compliance and protect human health and the environment is being made and whether a compliance schedule is being followed. The department may issue a permit on a trial basis. After review of the permit application or a trial period, the department may require financial assurance as a condition of a permit. Any such condition will be consistent with those types detailed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0.4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