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567—102.600</w:t>
      </w:r>
      <w:r>
        <w:rPr>
          <w:rFonts w:ascii="Times New Roman" w:hAnsi="Times New Roman"/>
          <w:b/>
          <w:i w:val="false"/>
          <w:color w:val="000000"/>
          <w:sz w:val="22"/>
        </w:rPr>
        <w:t xml:space="preserve">(455D) </w:t>
      </w:r>
      <w:r>
        <w:rPr>
          <w:rFonts w:ascii="Times New Roman" w:hAnsi="Times New Roman"/>
          <w:b/>
          <w:i w:val="false"/>
          <w:color w:val="000000"/>
          <w:sz w:val="22"/>
        </w:rPr>
        <w:t xml:space="preserve">Purpose; applicability; compliance. </w:t>
      </w:r>
      <w:r>
        <w:rPr>
          <w:rFonts w:ascii="Times New Roman" w:hAnsi="Times New Roman"/>
          <w:b w:val="false"/>
          <w:i w:val="false"/>
          <w:color w:val="000000"/>
          <w:sz w:val="22"/>
        </w:rPr>
        <w:t>This division is to ensure the proper removal and disposal of electrical parts containing polychlorinated biphenyls (PCBs), components containing mercury, and refrigerants (e.g., CFCs and HCFCs) from discarded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102.600(1)</w:t>
      </w:r>
      <w:r>
        <w:rPr>
          <w:rFonts w:ascii="Times New Roman" w:hAnsi="Times New Roman"/>
          <w:b w:val="false"/>
          <w:i w:val="false"/>
          <w:color w:val="000000"/>
          <w:sz w:val="22"/>
        </w:rPr>
        <w:t> </w:t>
      </w:r>
      <w:r>
        <w:rPr>
          <w:rFonts w:ascii="Times New Roman" w:hAnsi="Times New Roman"/>
          <w:b w:val="false"/>
          <w:i w:val="false"/>
          <w:color w:val="000000"/>
          <w:sz w:val="22"/>
        </w:rPr>
        <w:t>All discarded appliances must be demanufactured pursuant to this division before being disposed of or recycled. This division does not apply to the service, repair, reuse, or rebuilding of appliances or components for their original purpose. These rules do not apply to the removal of capacitors, refrigerants, or components containing mercury during the maintenance or service of equipment containing such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102.600(2)</w:t>
      </w:r>
      <w:r>
        <w:rPr>
          <w:rFonts w:ascii="Times New Roman" w:hAnsi="Times New Roman"/>
          <w:b w:val="false"/>
          <w:i w:val="false"/>
          <w:color w:val="000000"/>
          <w:sz w:val="22"/>
        </w:rPr>
        <w:t> </w:t>
      </w:r>
      <w:r>
        <w:rPr>
          <w:rFonts w:ascii="Times New Roman" w:hAnsi="Times New Roman"/>
          <w:b w:val="false"/>
          <w:i w:val="false"/>
          <w:color w:val="000000"/>
          <w:sz w:val="22"/>
        </w:rPr>
        <w:t>Compliance with this division in no way relieves the appliance demanufacturer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102.600(3)</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