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567—102.508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Conditions and requirements for the disposal of general special wastes. </w:t>
      </w:r>
      <w:r>
        <w:rPr>
          <w:rFonts w:ascii="Times New Roman" w:hAnsi="Times New Roman"/>
          <w:b w:val="false"/>
          <w:i w:val="false"/>
          <w:color w:val="000000"/>
          <w:sz w:val="22"/>
        </w:rPr>
        <w:t>Disposal of general special waste shall be in accordance this rule. An SWA is not required for general special wastes. The following wastes are approved as general special wastes: asbestos-containing material (ACM), stabilized grit, bar screenings, and grease skimmings.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102.508(1)</w:t>
      </w:r>
      <w:r>
        <w:rPr>
          <w:rFonts w:ascii="Times New Roman" w:hAnsi="Times New Roman"/>
          <w:b w:val="false"/>
          <w:i w:val="false"/>
          <w:color w:val="000000"/>
          <w:sz w:val="22"/>
        </w:rPr>
        <w:t> </w:t>
      </w:r>
      <w:r>
        <w:rPr>
          <w:rFonts w:ascii="Times New Roman" w:hAnsi="Times New Roman"/>
          <w:b w:val="false"/>
          <w:i/>
          <w:color w:val="000000"/>
          <w:sz w:val="22"/>
        </w:rPr>
        <w:t xml:space="preserve">Asbestos-containing material. </w:t>
      </w:r>
      <w:r>
        <w:rPr>
          <w:rFonts w:ascii="Times New Roman" w:hAnsi="Times New Roman"/>
          <w:b w:val="false"/>
          <w:i w:val="false"/>
          <w:color w:val="000000"/>
          <w:sz w:val="22"/>
        </w:rPr>
        <w:t>The MSWLF permit holder shall comply with the following conditions and requirements whenever asbestos-containing waste materials are accepted and disposed of in an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ACM wastes with 1 percent or less asbestos can be disposed of at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ACM wastes that contain greater than 1 percent asbestos are regulated under federal asbestos National Emission Standards for Hazardous Air Pollutants (NESHAP) and shall be managed in accordance with federal regulations defined in </w:t>
      </w:r>
      <w:r>
        <w:rPr>
          <w:rFonts w:ascii="Times New Roman" w:hAnsi="Times New Roman"/>
          <w:b w:val="false"/>
          <w:i w:val="false"/>
          <w:color w:val="000000"/>
          <w:sz w:val="22"/>
        </w:rPr>
        <w:t>40 CFR Part 61</w:t>
      </w:r>
      <w:r>
        <w:rPr>
          <w:rFonts w:ascii="Times New Roman" w:hAnsi="Times New Roman"/>
          <w:b w:val="false"/>
          <w:i w:val="false"/>
          <w:color w:val="000000"/>
          <w:sz w:val="22"/>
        </w:rPr>
        <w:t xml:space="preserve">, Subpart M. Testing to determine asbestos content shall utilize the method specified in </w:t>
      </w:r>
      <w:r>
        <w:rPr>
          <w:rFonts w:ascii="Times New Roman" w:hAnsi="Times New Roman"/>
          <w:b w:val="false"/>
          <w:i w:val="false"/>
          <w:color w:val="000000"/>
          <w:sz w:val="22"/>
        </w:rPr>
        <w:t>40 CFR Part 763</w:t>
      </w:r>
      <w:r>
        <w:rPr>
          <w:rFonts w:ascii="Times New Roman" w:hAnsi="Times New Roman"/>
          <w:b w:val="false"/>
          <w:i w:val="false"/>
          <w:color w:val="000000"/>
          <w:sz w:val="22"/>
        </w:rPr>
        <w:t>, Section 1, Subpart F,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at the MSWLF, the transporter shall present to the landfill operator the ACM waste shipment records, which shall include a determination whether the ACM waste is friable or nonfriable, if known. The landfill operator must through visual inspection or testing verify whether the ACM waste is friable or nonfriable. If the waste is friable or the inspection or testing cannot verify that the ACM is nonfriable, the waste must be handled as friable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federal NESHAP-regulated ACM waste shipments that show evidence of visible dust emissions or that are not properly containerized, wrapped, wetted, and covered shall be rejected upon arrival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that are nonfriable when received at the landfill may be disposed of at the working face. Care shall be taken when unloading and covering the waste so that it does not become friable at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that are confirmed as friable when received at the landfill shall be disposed of in an area separate from the regular working face. The wastes shall be covered carefully with a minimum of six inches of soil cover and compacted by no later than the end of the operating day. Care shall be taken at all times during disposal and covering to prevent rupture of asbestos-containing containers and wrapped waste systems. Covered ACM waste areas shall be protected from erosion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delivery, friable ACM wastes must be wet and contained in labeled, leak-tight containers or wrapping that prevents asbestos from becoming airborne. Bulk demolition wastes with friable ACM need not be placed in leak-tight containers but must remain wet at all times and be properly labeled and wrapped to prevent asbestos from becoming airborne during transport and disposal and covering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shall be taken at all times when transporting, depositing, and covering federal NESHAP-regulated ACM waste to control the evolution of dust and airborne asbestos fibers and to not allow the rupture of asbestos containers and wraps.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After landfill acceptance, if any federal NESHAP-regulated ACM waste becomes dry prior to disposal, rewetting or an approved alternative means of dust emissions control is mandatory. When disposed of, the wet ACM waste must be properly covered before it can dry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event that any visible dust emissions from federal NESHAP-regulated ACM waste occur, protective safety equipment, consistent with federal NESHAP and OSHA regulations, shall be immediately utilized by landfill operating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Daily records of the acceptance and disposal of all ACM wastes shall be maintained. Landfill records for each NESHAP-regulated ACM waste shipment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ACM waste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originating waste generation site, facility owner, agent responsible for performing removal and the waste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description of ACM wastes, quantity in cubic yards, weight and the number and type of containers or systems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waste shipment record and any accompanying asbestos content laboratory test and friable status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relative to the landfill operator’s visual confirmation of waste type compared to waste shipment records and the friable or nonfriable status for each federal NESHAP-regulated ACM waste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of any rejected ACM waste and the reasons for rejection by landfill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site operational area, coordinates location, and vertical elevation keyed to site mapping and the quantity of buried waste in cubic yards for each federal NESHAP-regulated waste shipment disposed of within the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all federal NESHAP-regulated ACM wastes accepted at the landfill in accordance with </w:t>
      </w:r>
      <w:r>
        <w:rPr>
          <w:rFonts w:ascii="Times New Roman" w:hAnsi="Times New Roman"/>
          <w:b w:val="false"/>
          <w:i w:val="false"/>
          <w:color w:val="000000"/>
          <w:sz w:val="22"/>
        </w:rPr>
        <w:t>40 CFR Part 61</w:t>
      </w:r>
      <w:r>
        <w:rPr>
          <w:rFonts w:ascii="Times New Roman" w:hAnsi="Times New Roman"/>
          <w:b w:val="false"/>
          <w:i w:val="false"/>
          <w:color w:val="000000"/>
          <w:sz w:val="22"/>
        </w:rPr>
        <w:t>, including required federal and state asbestos NESHAP program operational and site closure reports, shall be maintained. All records, except for waste shipment records, shall be maintained through site closure. Waste shipment records shall be retained for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copy of an Affidavit Explanatory of Title that has been file stamped by the county recorder shall be submitted to the department within 60 days of site closure. The affidavit shall appear at part of the property deed record and shall indicate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landfill has been used for the disposal of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survey plot and all records of the location and quantity of regulated ACM wastes have been filed with federal and state NESHAP program officials. Such documentation must be filed with the department, along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is subject to the regulations under </w:t>
      </w:r>
      <w:r>
        <w:rPr>
          <w:rFonts w:ascii="Times New Roman" w:hAnsi="Times New Roman"/>
          <w:b w:val="false"/>
          <w:i w:val="false"/>
          <w:color w:val="000000"/>
          <w:sz w:val="22"/>
        </w:rPr>
        <w:t>40 CFR Part 61</w:t>
      </w:r>
      <w:r>
        <w:rPr>
          <w:rFonts w:ascii="Times New Roman" w:hAnsi="Times New Roman"/>
          <w:b w:val="false"/>
          <w:i w:val="false"/>
          <w:color w:val="000000"/>
          <w:sz w:val="22"/>
        </w:rPr>
        <w:t>, Subpart M, and the site closure permit requirements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Strict adherence to federal NESHAP asbestos regulations under </w:t>
      </w:r>
      <w:r>
        <w:rPr>
          <w:rFonts w:ascii="Times New Roman" w:hAnsi="Times New Roman"/>
          <w:b w:val="false"/>
          <w:i w:val="false"/>
          <w:color w:val="000000"/>
          <w:sz w:val="22"/>
        </w:rPr>
        <w:t>40 CFR Part 61</w:t>
      </w:r>
      <w:r>
        <w:rPr>
          <w:rFonts w:ascii="Times New Roman" w:hAnsi="Times New Roman"/>
          <w:b w:val="false"/>
          <w:i w:val="false"/>
          <w:color w:val="000000"/>
          <w:sz w:val="22"/>
        </w:rPr>
        <w:t xml:space="preserve"> is mandatory for all federal regulated ACM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102.508(2)</w:t>
      </w:r>
      <w:r>
        <w:rPr>
          <w:rFonts w:ascii="Times New Roman" w:hAnsi="Times New Roman"/>
          <w:b w:val="false"/>
          <w:i w:val="false"/>
          <w:color w:val="000000"/>
          <w:sz w:val="22"/>
        </w:rPr>
        <w:t> </w:t>
      </w:r>
      <w:r>
        <w:rPr>
          <w:rFonts w:ascii="Times New Roman" w:hAnsi="Times New Roman"/>
          <w:b w:val="false"/>
          <w:i/>
          <w:color w:val="000000"/>
          <w:sz w:val="22"/>
        </w:rPr>
        <w:t xml:space="preserve">Stabilized grit, bar screenings, and grease skimmings. </w:t>
      </w:r>
      <w:r>
        <w:rPr>
          <w:rFonts w:ascii="Times New Roman" w:hAnsi="Times New Roman"/>
          <w:b w:val="false"/>
          <w:i w:val="false"/>
          <w:color w:val="000000"/>
          <w:sz w:val="22"/>
        </w:rPr>
        <w:t>The MSWLF operator, the generator, and the hauler shall comply with the following conditions and requirements whenever stabilized grit, bar screenings, or grease skimmings are disposed of in a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generator shall stabilize the grit, bar screenings, and grease skimmings prior to their disposal at the landfill in order to destroy any pathogenic organisms. Stabilization shall be done by addition of lime to raise the pH to at least 12 for two hours. In lieu of stabilization for bar screenings, a system that flushes organic matter then dewaters and bags the screenings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generator shall prearrange a delivery schedule with the landfill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at the landfill, the hauler shall identify the waste to the landfill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landfill operator shall direct the hauler to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waste shall be deposited at the working face, covered with regular refuse or soil and compacted.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