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567—102.507</w:t>
      </w:r>
      <w:r>
        <w:rPr>
          <w:rFonts w:ascii="Times New Roman" w:hAnsi="Times New Roman"/>
          <w:b/>
          <w:i w:val="false"/>
          <w:color w:val="000000"/>
          <w:sz w:val="22"/>
        </w:rPr>
        <w:t xml:space="preserve">(455B,455D) </w:t>
      </w:r>
      <w:r>
        <w:rPr>
          <w:rFonts w:ascii="Times New Roman" w:hAnsi="Times New Roman"/>
          <w:b/>
          <w:i w:val="false"/>
          <w:color w:val="000000"/>
          <w:sz w:val="22"/>
        </w:rPr>
        <w:t xml:space="preserve">Additional requirements for specific types of special wastes.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102.507(1)</w:t>
      </w:r>
      <w:r>
        <w:rPr>
          <w:rFonts w:ascii="Times New Roman" w:hAnsi="Times New Roman"/>
          <w:b w:val="false"/>
          <w:i w:val="false"/>
          <w:color w:val="000000"/>
          <w:sz w:val="22"/>
        </w:rPr>
        <w:t> </w:t>
      </w:r>
      <w:r>
        <w:rPr>
          <w:rFonts w:ascii="Times New Roman" w:hAnsi="Times New Roman"/>
          <w:b w:val="false"/>
          <w:i/>
          <w:color w:val="000000"/>
          <w:sz w:val="22"/>
        </w:rPr>
        <w:t xml:space="preserve">Sewage sludge. </w:t>
      </w:r>
      <w:r>
        <w:rPr>
          <w:rFonts w:ascii="Times New Roman" w:hAnsi="Times New Roman"/>
          <w:b w:val="false"/>
          <w:i w:val="false"/>
          <w:color w:val="000000"/>
          <w:sz w:val="22"/>
        </w:rPr>
        <w:t xml:space="preserve">Sewage sludge, including stabilized septic tank pumpings, shall not be disposed of in a MSWLF if it meets the criteria for Class I or II sewage sludge in </w:t>
      </w:r>
      <w:hyperlink r:id="rId4">
        <w:r>
          <w:rPr>
            <w:rStyle w:val="Hyperlink"/>
            <w:rFonts w:ascii="Times New Roman" w:hAnsi="Times New Roman"/>
            <w:b w:val="false"/>
            <w:i w:val="false"/>
            <w:color w:val="000000"/>
            <w:sz w:val="22"/>
          </w:rPr>
          <w:t>567—Chapter 67</w:t>
        </w:r>
      </w:hyperlink>
      <w:r>
        <w:rPr>
          <w:rFonts w:ascii="Times New Roman" w:hAnsi="Times New Roman"/>
          <w:b w:val="false"/>
          <w:i w:val="false"/>
          <w:color w:val="000000"/>
          <w:sz w:val="22"/>
        </w:rPr>
        <w:t xml:space="preserve">, except for use in daily, interim, or final cover according to the approved plan for the landfill. Class III sewage sludge may be disposed of at a MSWLF if stabilized according to </w:t>
      </w:r>
      <w:hyperlink r:id="rId5">
        <w:r>
          <w:rPr>
            <w:rStyle w:val="Hyperlink"/>
            <w:rFonts w:ascii="Times New Roman" w:hAnsi="Times New Roman"/>
            <w:b w:val="false"/>
            <w:i w:val="false"/>
            <w:color w:val="000000"/>
            <w:sz w:val="22"/>
          </w:rPr>
          <w:t>567—Chapter 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102.507(2)</w:t>
      </w:r>
      <w:r>
        <w:rPr>
          <w:rFonts w:ascii="Times New Roman" w:hAnsi="Times New Roman"/>
          <w:b w:val="false"/>
          <w:i w:val="false"/>
          <w:color w:val="000000"/>
          <w:sz w:val="22"/>
        </w:rPr>
        <w:t> </w:t>
      </w:r>
      <w:r>
        <w:rPr>
          <w:rFonts w:ascii="Times New Roman" w:hAnsi="Times New Roman"/>
          <w:b w:val="false"/>
          <w:i/>
          <w:color w:val="000000"/>
          <w:sz w:val="22"/>
        </w:rPr>
        <w:t xml:space="preserve">Infectious waste. </w:t>
      </w:r>
      <w:r>
        <w:rPr>
          <w:rFonts w:ascii="Times New Roman" w:hAnsi="Times New Roman"/>
          <w:b w:val="false"/>
          <w:i w:val="false"/>
          <w:color w:val="000000"/>
          <w:sz w:val="22"/>
        </w:rPr>
        <w:t>Infectious waste may be placed with municipal solid waste if it is rendered nonpathological; it does not contain free liquids; and sharps are shredded, blunted, granulated, incinerated, or mechanically destroyed. The generator of the infectious waste must notify the waste hauler and the MSWLF that infectious waste is being placed with the regular municipal solid waste and, with the notice, certify that the infectious waste is properly treated in accordance with the requirements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567.67.pdf" Type="http://schemas.openxmlformats.org/officeDocument/2006/relationships/hyperlink" Id="rId4"/>
    <Relationship TargetMode="External" Target="https://www.legis.iowa.gov/docs/iac/chapter/567.67.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