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567—102.506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(455B,455D)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Special waste generator responsibilities.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Special waste generator responsibilities shall include the following in addition to any requirements in the SWA or SWAC.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102.506(1)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generator shall adhere to the solid waste management hierarchy unless otherwise approved in an SWA. Alternatives include volume reduction at the source; recycling and reuse, including composting and land application; and other approved techniques of solid waste management including but not limited to combustion with energy recovery and combustion for waste disposal.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102.506(2)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generator shall ensure that waste regulated by a SWA arrives at the receiving MSWLF as a separate load and is not commingled with any other waste.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102.506(3)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generator shall make a waste determination as required by federal regulations and submit it and analytical results supporting an SWA to the MSWLF at a frequency to be determined by the MSWLF.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102.506(4)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generator must contact the designated MSWLF for instructions on delivering the waste and instructions for adhering to the MSWLF’s SWAC.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102.506(5)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generator shall notify the department and MSWLF, prior to disposal, of any change in the characteristics of the special wastes being disposed.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102.506(6)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Generators shall notify the MSWLF in writing when a one-time disposal under an SWA has been completed. This requirement is for one-time disposals only.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0483D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