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567—102.504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Issuance of SWA.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102.504(1)</w:t>
      </w:r>
      <w:r>
        <w:rPr>
          <w:rFonts w:ascii="Times New Roman" w:hAnsi="Times New Roman"/>
          <w:b w:val="false"/>
          <w:i w:val="false"/>
          <w:color w:val="000000"/>
          <w:sz w:val="22"/>
        </w:rPr>
        <w:t> </w:t>
      </w:r>
      <w:r>
        <w:rPr>
          <w:rFonts w:ascii="Times New Roman" w:hAnsi="Times New Roman"/>
          <w:b w:val="false"/>
          <w:i w:val="false"/>
          <w:color w:val="000000"/>
          <w:sz w:val="22"/>
        </w:rPr>
        <w:t>Generators of special waste shall initiate an application for a SWA by providing the following to the receiving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chemical analysis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the process that generates the waste and verification that no RCRA listings in 40 CFR 261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Toxicity characteristic leaching procedure (TCLP) test results when appropriate, which show that none of the federal limits in </w:t>
      </w:r>
      <w:r>
        <w:rPr>
          <w:rFonts w:ascii="Times New Roman" w:hAnsi="Times New Roman"/>
          <w:b w:val="false"/>
          <w:i w:val="false"/>
          <w:color w:val="000000"/>
          <w:sz w:val="22"/>
        </w:rPr>
        <w:t>40 CFR Part 261</w:t>
      </w:r>
      <w:r>
        <w:rPr>
          <w:rFonts w:ascii="Times New Roman" w:hAnsi="Times New Roman"/>
          <w:b w:val="false"/>
          <w:i w:val="false"/>
          <w:color w:val="000000"/>
          <w:sz w:val="22"/>
        </w:rPr>
        <w:t xml:space="preserve">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Physical form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Weight or volume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Safety data sheet (SDS) for the waste or for the materials from which the waste is generated,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review of the alternatives to landfilling for each waste for which an SWA is requested, including details as to the extent the waste could be recycled, reduced, or reused so that landfilling is not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or the MSWLF.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102.504(2)</w:t>
      </w:r>
      <w:r>
        <w:rPr>
          <w:rFonts w:ascii="Times New Roman" w:hAnsi="Times New Roman"/>
          <w:b w:val="false"/>
          <w:i w:val="false"/>
          <w:color w:val="000000"/>
          <w:sz w:val="22"/>
        </w:rPr>
        <w:t> </w:t>
      </w:r>
      <w:r>
        <w:rPr>
          <w:rFonts w:ascii="Times New Roman" w:hAnsi="Times New Roman"/>
          <w:b w:val="false"/>
          <w:i w:val="false"/>
          <w:color w:val="000000"/>
          <w:sz w:val="22"/>
        </w:rPr>
        <w:t>The receiving MSWLF shall review the submitted materials. If after review it is determined that the waste is a special waste and the MSWLF is willing to accept the waste, the MSWLF shall develop a special waste acceptance criteria (SWAC) that includes instructions for disposal of waste. The MSWLF shall submit the SWAC and materials provided by the waste generator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102.504(3)</w:t>
      </w:r>
      <w:r>
        <w:rPr>
          <w:rFonts w:ascii="Times New Roman" w:hAnsi="Times New Roman"/>
          <w:b w:val="false"/>
          <w:i w:val="false"/>
          <w:color w:val="000000"/>
          <w:sz w:val="22"/>
        </w:rPr>
        <w:t> </w:t>
      </w:r>
      <w:r>
        <w:rPr>
          <w:rFonts w:ascii="Times New Roman" w:hAnsi="Times New Roman"/>
          <w:b w:val="false"/>
          <w:i w:val="false"/>
          <w:color w:val="000000"/>
          <w:sz w:val="22"/>
        </w:rPr>
        <w:t>An SWA may be issued for a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102.504(4)</w:t>
      </w:r>
      <w:r>
        <w:rPr>
          <w:rFonts w:ascii="Times New Roman" w:hAnsi="Times New Roman"/>
          <w:b w:val="false"/>
          <w:i w:val="false"/>
          <w:color w:val="000000"/>
          <w:sz w:val="22"/>
        </w:rPr>
        <w:t> </w:t>
      </w:r>
      <w:r>
        <w:rPr>
          <w:rFonts w:ascii="Times New Roman" w:hAnsi="Times New Roman"/>
          <w:b w:val="false"/>
          <w:i w:val="false"/>
          <w:color w:val="000000"/>
          <w:sz w:val="22"/>
        </w:rPr>
        <w:t>The holder of an SWA must apply for a renewal prior to the expiration of the SWA.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102.504(5)</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an SWA for cause at any time. Such cause may include but is not limited to evidence that indicates that the characteristics of the authorized quality of the waste vary from the authorized values, evidence that the continued disposal of the waste as authorized may pose a threat to the public health or the environment, or failure to comply with any condition in the SWA or the MSWLF’s SWAC.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102.504(6)</w:t>
      </w:r>
      <w:r>
        <w:rPr>
          <w:rFonts w:ascii="Times New Roman" w:hAnsi="Times New Roman"/>
          <w:b w:val="false"/>
          <w:i w:val="false"/>
          <w:color w:val="000000"/>
          <w:sz w:val="22"/>
        </w:rPr>
        <w:t> </w:t>
      </w:r>
      <w:r>
        <w:rPr>
          <w:rFonts w:ascii="Times New Roman" w:hAnsi="Times New Roman"/>
          <w:b w:val="false"/>
          <w:i w:val="false"/>
          <w:color w:val="000000"/>
          <w:sz w:val="22"/>
        </w:rPr>
        <w:t>The issuance of an SWA does not obligate any waste disposal facility to accept the waste nor does it preclude the facility from imposing conditions or restrictions other than those listed in the SWA.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102.504(7)</w:t>
      </w:r>
      <w:r>
        <w:rPr>
          <w:rFonts w:ascii="Times New Roman" w:hAnsi="Times New Roman"/>
          <w:b w:val="false"/>
          <w:i w:val="false"/>
          <w:color w:val="000000"/>
          <w:sz w:val="22"/>
        </w:rPr>
        <w:t> </w:t>
      </w:r>
      <w:r>
        <w:rPr>
          <w:rFonts w:ascii="Times New Roman" w:hAnsi="Times New Roman"/>
          <w:b w:val="false"/>
          <w:i w:val="false"/>
          <w:color w:val="000000"/>
          <w:sz w:val="22"/>
        </w:rPr>
        <w:t>The issuance of an SWA does not exempt the waste generator or the MSWLF from any local, state, or federal laws or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