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567—102.503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Restrictions. </w:t>
      </w:r>
      <w:r>
        <w:rPr>
          <w:rFonts w:ascii="Times New Roman" w:hAnsi="Times New Roman"/>
          <w:b w:val="false"/>
          <w:i w:val="false"/>
          <w:color w:val="000000"/>
          <w:sz w:val="22"/>
        </w:rPr>
        <w:t>Special wastes regulated by this division shall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102.503(1)</w:t>
      </w:r>
      <w:r>
        <w:rPr>
          <w:rFonts w:ascii="Times New Roman" w:hAnsi="Times New Roman"/>
          <w:b w:val="false"/>
          <w:i w:val="false"/>
          <w:color w:val="000000"/>
          <w:sz w:val="22"/>
        </w:rPr>
        <w:t> </w:t>
      </w:r>
      <w:r>
        <w:rPr>
          <w:rFonts w:ascii="Times New Roman" w:hAnsi="Times New Roman"/>
          <w:b w:val="false"/>
          <w:i w:val="false"/>
          <w:color w:val="000000"/>
          <w:sz w:val="22"/>
        </w:rPr>
        <w:t>The waste shall not contain free liquids.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102.503(2)</w:t>
      </w:r>
      <w:r>
        <w:rPr>
          <w:rFonts w:ascii="Times New Roman" w:hAnsi="Times New Roman"/>
          <w:b w:val="false"/>
          <w:i w:val="false"/>
          <w:color w:val="000000"/>
          <w:sz w:val="22"/>
        </w:rPr>
        <w:t> </w:t>
      </w:r>
      <w:r>
        <w:rPr>
          <w:rFonts w:ascii="Times New Roman" w:hAnsi="Times New Roman"/>
          <w:b w:val="false"/>
          <w:i w:val="false"/>
          <w:color w:val="000000"/>
          <w:sz w:val="22"/>
        </w:rPr>
        <w:t>The waste shall not be a listed hazardous waste or meet the criteria for characteristic hazardous waste pursuant to the federal Resource Conservation and Recovery Act (RCRA).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102.503(3)</w:t>
      </w:r>
      <w:r>
        <w:rPr>
          <w:rFonts w:ascii="Times New Roman" w:hAnsi="Times New Roman"/>
          <w:b w:val="false"/>
          <w:i w:val="false"/>
          <w:color w:val="000000"/>
          <w:sz w:val="22"/>
        </w:rPr>
        <w:t> </w:t>
      </w:r>
      <w:r>
        <w:rPr>
          <w:rFonts w:ascii="Times New Roman" w:hAnsi="Times New Roman"/>
          <w:b w:val="false"/>
          <w:i w:val="false"/>
          <w:color w:val="000000"/>
          <w:sz w:val="22"/>
        </w:rPr>
        <w:t xml:space="preserve">Wastes with PCB concentrations equal to or greater than 50 ppm shall not be authorized for disposal at an MSWLF unless the waste is defined as PCB bulk product waste in </w:t>
      </w:r>
      <w:r>
        <w:rPr>
          <w:rFonts w:ascii="Times New Roman" w:hAnsi="Times New Roman"/>
          <w:b w:val="false"/>
          <w:i w:val="false"/>
          <w:color w:val="000000"/>
          <w:sz w:val="22"/>
        </w:rPr>
        <w:t>40 CFR 761.3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102.503(4)</w:t>
      </w:r>
      <w:r>
        <w:rPr>
          <w:rFonts w:ascii="Times New Roman" w:hAnsi="Times New Roman"/>
          <w:b w:val="false"/>
          <w:i w:val="false"/>
          <w:color w:val="000000"/>
          <w:sz w:val="22"/>
        </w:rPr>
        <w:t> </w:t>
      </w:r>
      <w:r>
        <w:rPr>
          <w:rFonts w:ascii="Times New Roman" w:hAnsi="Times New Roman"/>
          <w:b w:val="false"/>
          <w:i w:val="false"/>
          <w:color w:val="000000"/>
          <w:sz w:val="22"/>
        </w:rPr>
        <w:t>Wastes that are used beneficially at an MSWLF are not special wastes.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