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567—102.501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division shall apply to generators of special waste and municipal solid waste landfills that accept special waste. No special wastes shall be delivered to or accepted by a MSWLF unless disposal is authorized by a special waste authorization (SWA) issued by the department or is general special waste pursuant to </w:t>
      </w:r>
      <w:hyperlink r:id="rId4">
        <w:r>
          <w:rPr>
            <w:rStyle w:val="Hyperlink"/>
            <w:rFonts w:ascii="Times New Roman" w:hAnsi="Times New Roman"/>
            <w:b w:val="false"/>
            <w:i w:val="false"/>
            <w:color w:val="000000"/>
            <w:sz w:val="22"/>
          </w:rPr>
          <w:t>567—102.508</w:t>
        </w:r>
      </w:hyperlink>
      <w:r>
        <w:rPr>
          <w:rFonts w:ascii="Times New Roman" w:hAnsi="Times New Roman"/>
          <w:b w:val="false"/>
          <w:i w:val="false"/>
          <w:color w:val="000000"/>
          <w:sz w:val="22"/>
        </w:rPr>
        <w:t>(455B,455D). Wastes for which an SWA has been issued shall be disposed of in accordance with the instructions, conditions, and limitations contained in the SWA. Any amendment requests shall be handled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102.501(2)</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50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