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567—102.5</w:t>
      </w:r>
      <w:r>
        <w:rPr>
          <w:rFonts w:ascii="Times New Roman" w:hAnsi="Times New Roman"/>
          <w:b/>
          <w:i w:val="false"/>
          <w:color w:val="000000"/>
          <w:sz w:val="22"/>
        </w:rPr>
        <w:t xml:space="preserve">(455D) </w:t>
      </w:r>
      <w:r>
        <w:rPr>
          <w:rFonts w:ascii="Times New Roman" w:hAnsi="Times New Roman"/>
          <w:b/>
          <w:i w:val="false"/>
          <w:color w:val="000000"/>
          <w:sz w:val="22"/>
        </w:rPr>
        <w:t xml:space="preserve">General requirements for all composting activities not exempt. </w:t>
      </w:r>
      <w:r>
        <w:rPr>
          <w:rFonts w:ascii="Times New Roman" w:hAnsi="Times New Roman"/>
          <w:b w:val="false"/>
          <w:i w:val="false"/>
          <w:color w:val="000000"/>
          <w:sz w:val="22"/>
        </w:rPr>
        <w:t xml:space="preserve">Any composting facility that is not exempt under </w:t>
      </w:r>
      <w:hyperlink r:id="rId4">
        <w:r>
          <w:rPr>
            <w:rStyle w:val="Hyperlink"/>
            <w:rFonts w:ascii="Times New Roman" w:hAnsi="Times New Roman"/>
            <w:b w:val="false"/>
            <w:i w:val="false"/>
            <w:color w:val="000000"/>
            <w:sz w:val="22"/>
          </w:rPr>
          <w:t>567—102.4</w:t>
        </w:r>
      </w:hyperlink>
      <w:r>
        <w:rPr>
          <w:rFonts w:ascii="Times New Roman" w:hAnsi="Times New Roman"/>
          <w:b w:val="false"/>
          <w:i w:val="false"/>
          <w:color w:val="000000"/>
          <w:sz w:val="22"/>
        </w:rPr>
        <w:t>(455D) must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Siting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composting facility shall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500 feet from any existing inhabited residence, not including the residence of a person owning or operating the compost facility, at the time the permit application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200 feet from public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100 feet from private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least 50 feet from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least 100 feet from flowing or intermittent streams, lakes, or ponds.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Outside of wetlands.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Composting done within a 100-year floodplain shall be in accordance with all local and department regulations, including </w:t>
      </w:r>
      <w:hyperlink r:id="rId5">
        <w:r>
          <w:rPr>
            <w:rStyle w:val="Hyperlink"/>
            <w:rFonts w:ascii="Times New Roman" w:hAnsi="Times New Roman"/>
            <w:b w:val="false"/>
            <w:i w:val="false"/>
            <w:color w:val="000000"/>
            <w:sz w:val="22"/>
          </w:rPr>
          <w:t>567—71.5</w:t>
        </w:r>
      </w:hyperlink>
      <w:r>
        <w:rPr>
          <w:rFonts w:ascii="Times New Roman" w:hAnsi="Times New Roman"/>
          <w:b w:val="false"/>
          <w:i w:val="false"/>
          <w:color w:val="000000"/>
          <w:sz w:val="22"/>
        </w:rPr>
        <w:t>(455B). Sediment ponds, engineered wetlands, or other constructed waterways for the purpose of pollution control are excluded from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shall be prevented from running onto the composting facility from adjacent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Management or disposal of contact water and stormwater shall be in accordance with </w:t>
      </w:r>
      <w:hyperlink r:id="rId6">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Composting facilities shall be designed, constructed, and maintained so as to minimize ponding of water or liquids. Any ponding that does occur shall be corrected through routine facility maintenance within 48 hours after the termination of the event causing the ponding.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Composting not done in-vessel shall be done on a surface that will permit accessibility during periods of inclement weather. The receiving, processing, production, and curing shall take place on a surface of asphalt, concrete, compacted granular aggregate, clay, or similar relatively impermeable material. Composting facilities that only compost Type A feedstocks may have a surface of compacted soil. The surface must be maintained in a condition that prevents infiltration to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In-vessel composting shall be done in a container that does not leak, prevents access by vectors, and provides adequate aeration.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 the exception of in-vessel composting, the high-water table shall be at least 12 inches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color w:val="000000"/>
          <w:sz w:val="22"/>
        </w:rPr>
        <w:t xml:space="preserve">Operational requirements. </w:t>
      </w:r>
      <w:r>
        <w:rPr>
          <w:rFonts w:ascii="Times New Roman" w:hAnsi="Times New Roman"/>
          <w:b w:val="false"/>
          <w:i w:val="false"/>
          <w:color w:val="000000"/>
          <w:sz w:val="22"/>
        </w:rPr>
        <w:t>Composting facilities shall be operated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Aerobic conditions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Composting facilities shall be free of unsecured trash at the end of each operating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Non-compostable waste shall be removed or stored in a container or containment area and recycled or disposed of at a permitted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Organic materials shall be managed to minimize odors, dust, noise, litter, contact water, fire and scavenging by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Composting shall be performed in a manner that minimizes the formation of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of cured compost shall be limited to 18 months unless prior written approval from the department is granted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Compost shall not be applied to land, sold, or given away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Concentration of human-made inert materials such as glass, metal, and plastic is less than 1.5 percent by dry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size of any human-made inert materials is less than 13 mm (0.512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Finished compost that contains bones that have not fully decomposed may be applied to cropland.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4.pdf" Type="http://schemas.openxmlformats.org/officeDocument/2006/relationships/hyperlink" Id="rId4"/>
    <Relationship TargetMode="External" Target="https://www.legis.iowa.gov/docs/iac/rule/567.71.5.pdf" Type="http://schemas.openxmlformats.org/officeDocument/2006/relationships/hyperlink" Id="rId5"/>
    <Relationship TargetMode="External" Target="https://www.legis.iowa.gov/docs/iac/chapter/567.6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