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567—102.410</w:t>
      </w:r>
      <w:r>
        <w:rPr>
          <w:rFonts w:ascii="Times New Roman" w:hAnsi="Times New Roman"/>
          <w:b/>
          <w:i w:val="false"/>
          <w:color w:val="000000"/>
          <w:sz w:val="22"/>
        </w:rPr>
        <w:t xml:space="preserve">(455D)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 xml:space="preserve">Permitted waste tire processing sites and waste tire stockpile sites must obtain and submit a financial assurance instrument to the department in accordance with Iowa Code section </w:t>
      </w:r>
      <w:hyperlink r:id="rId4">
        <w:r>
          <w:rPr>
            <w:rStyle w:val="Hyperlink"/>
            <w:rFonts w:ascii="Times New Roman" w:hAnsi="Times New Roman"/>
            <w:b w:val="false"/>
            <w:i w:val="false"/>
            <w:color w:val="000000"/>
            <w:sz w:val="22"/>
          </w:rPr>
          <w:t>455D.11A</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waste tire processing or stockpile site until a financial assurance instrument(s) has been submitted to and approved by the department,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102.410(2)</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Waste tire stockpile sites shall have financial assurance coverage equal to $2.50 per passenger tire equivalent collected and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processing sites shall have financial assurance coverage equal to $2.50 per passenger tire equivalent stockpiled above the permitted three-day processing capacity, in accordance with </w:t>
      </w:r>
      <w:hyperlink r:id="rId5">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102.410(3)</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instruments. </w:t>
      </w:r>
      <w:r>
        <w:rPr>
          <w:rFonts w:ascii="Times New Roman" w:hAnsi="Times New Roman"/>
          <w:b w:val="false"/>
          <w:i w:val="false"/>
          <w:color w:val="000000"/>
          <w:sz w:val="22"/>
        </w:rPr>
        <w:t xml:space="preserve">The instruments used to demonstrate financial assurance must ensure that the funds necessary to properly dispose of any waste tires that may remain at a permitted waste tire stockpile or waste tire processing site due to the owner’s or operator’s failure to properly close the site within 30 days of permit termination, revocation, or expiration. The financial assurance instrument must be legally valid, binding, and enforceable under Iowa law and shall not be canceled, revoked, disbursed, released, or allowed to terminate without the approval of the department. Owners or operators must choose from options in </w:t>
      </w:r>
      <w:hyperlink r:id="rId6">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as provided for in Iowa Code section </w:t>
      </w:r>
      <w:hyperlink r:id="rId7">
        <w:r>
          <w:rPr>
            <w:rStyle w:val="Hyperlink"/>
            <w:rFonts w:ascii="Times New Roman" w:hAnsi="Times New Roman"/>
            <w:b w:val="false"/>
            <w:i w:val="false"/>
            <w:color w:val="000000"/>
            <w:sz w:val="22"/>
          </w:rPr>
          <w:t>455D.11A(3)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Cash payments shall be provided by a certified check,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An owner or operator may demonstrate financial assurance for closure by obtaining a payment or performance surety bond, which conforms to the requirements of this paragraph. The surety bond agreement shall be on a form prescribed by the department and executed by a surety company authorized by the commissioner of insurance to do business in Iowa. The owner or operator shall provide the department with a statement from the surety with each permit renewal application, noting that the bond is paid and current for the period for which the applicant has applied for permit renewal. The executed surety bond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8">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upon notice from the department pursuant to </w:t>
      </w:r>
      <w:hyperlink r:id="rId9">
        <w:r>
          <w:rPr>
            <w:rStyle w:val="Hyperlink"/>
            <w:rFonts w:ascii="Times New Roman" w:hAnsi="Times New Roman"/>
            <w:b w:val="false"/>
            <w:i w:val="false"/>
            <w:color w:val="000000"/>
            <w:sz w:val="22"/>
          </w:rPr>
          <w:t>102.410(8)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10">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11">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An owner or operator may demonstrate financial assurance for closure by obtaining an irrevocable standby letter of credit, which conforms to the requirements of this paragraph. The letter of credit agreement shall be on a form prescribed by the department, and the issuing institution must be an entity that has the authority to issue letters of credit and whose letter-of-credit operations are regulated and examined by a federal or state agency. The owner or operator shall provide the department with a statement from the issuing institution with each permit renewal application, noting that the letter of credit is paid and current for the period for which the applicant has applied for permit renewal. The executed letter of credit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issued for a period of at least one year in an amount at least equal to the amount specified in </w:t>
      </w:r>
      <w:hyperlink r:id="rId12">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providing the name and address of the facility; and providing the amount of funds assured must be included with the letter of credit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13">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14">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r>
        <w:rPr>
          <w:rFonts w:ascii="Times New Roman" w:hAnsi="Times New Roman"/>
          <w:b w:val="false"/>
          <w:i w:val="false"/>
          <w:color w:val="000000"/>
          <w:sz w:val="22"/>
        </w:rPr>
        <w:t>An owner or operator may demonstrate financial assurance for closure by establishing a trust fund that conforms to the requirements of this paragraph. The trust fund agreement shall be on a form prescribed by the department, and the trustee must be an entity that has the authority to act as a trustee and whose trust operations are regulated and examined by a federal or state agency. The executed trust fund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 fund shall be in an amount least equal to the amount specified in </w:t>
      </w:r>
      <w:hyperlink r:id="rId15">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provide the department with a statement from the trustee with each permit renewal application, documenting the current value of the trust fund complies with </w:t>
      </w:r>
      <w:hyperlink r:id="rId16">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department, or other person authorized to conduct closure may request reimbursement from the trustee for these expenditures as they are incurred. Requests for reimbursement will be granted by the trustee only if sufficient funds are remaining in the trust fund to cover the remaining costs of proper site closure. The owner or operator, or other person authorized to conduct closure,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that satisfies the requirements of this paragraph may demonstrate financial assurance for closure by obtaining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Affiliation. The guarantor must be the direct or higher-tier parent corporation of the owner or operator, a firm whose parent corporation is also the parent corporation of the owner or operator, or a firm with a substantial business relationship with the owner or operator.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and all required submissions made to the department prior to the initial receipt of waste tires or before the cancellation of an alternative financial assurance instrument, in the case of closure.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proper closure of a site covered by the guarantee, or fails to obtain alternative financial assurance within 90 days of notice of intent to cancel pursuant to </w:t>
      </w:r>
      <w:hyperlink r:id="rId17">
        <w:r>
          <w:rPr>
            <w:rStyle w:val="Hyperlink"/>
            <w:rFonts w:ascii="Times New Roman" w:hAnsi="Times New Roman"/>
            <w:b w:val="false"/>
            <w:i w:val="false"/>
            <w:color w:val="000000"/>
            <w:sz w:val="22"/>
          </w:rPr>
          <w:t>102.410(8)</w:t>
        </w:r>
      </w:hyperlink>
      <w:r>
        <w:rPr>
          <w:rFonts w:ascii="Times New Roman" w:hAnsi="Times New Roman"/>
          <w:b w:val="false"/>
          <w:i w:val="false"/>
          <w:color w:val="000000"/>
          <w:sz w:val="22"/>
        </w:rPr>
        <w:t>,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proper closure as required (performance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w:t>
      </w:r>
      <w:hyperlink r:id="rId18">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guarantee will remain in force for as long as the owner or operator must comply with the applicable financial assurance requirements of this rule unless the guarantor sends prior notice of cancellation by certified mail to the owner or operator and to the department pursuant to </w:t>
      </w:r>
      <w:hyperlink r:id="rId19">
        <w:r>
          <w:rPr>
            <w:rStyle w:val="Hyperlink"/>
            <w:rFonts w:ascii="Times New Roman" w:hAnsi="Times New Roman"/>
            <w:b w:val="false"/>
            <w:i w:val="false"/>
            <w:color w:val="000000"/>
            <w:sz w:val="22"/>
          </w:rPr>
          <w:t>102.410(8)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based on a reasonable belief that the corporate guarantor may no longer assure the funds of the written guarantee, require at any time the corporate guarantor to provide reports of its financial condition. If a corporate guarantor can no longer assure the funds of the written guarantee, the owner or operator must submit to the department proof of alternative financial assurance within 90-days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102.410(4)</w:t>
      </w:r>
      <w:r>
        <w:rPr>
          <w:rFonts w:ascii="Times New Roman" w:hAnsi="Times New Roman"/>
          <w:b w:val="false"/>
          <w:i w:val="false"/>
          <w:color w:val="000000"/>
          <w:sz w:val="22"/>
        </w:rPr>
        <w:t> </w:t>
      </w:r>
      <w:r>
        <w:rPr>
          <w:rFonts w:ascii="Times New Roman" w:hAnsi="Times New Roman"/>
          <w:b w:val="false"/>
          <w:i/>
          <w:color w:val="000000"/>
          <w:sz w:val="22"/>
        </w:rPr>
        <w:t xml:space="preserve">Use of multiple financial assurance instruments. </w:t>
      </w:r>
      <w:r>
        <w:rPr>
          <w:rFonts w:ascii="Times New Roman" w:hAnsi="Times New Roman"/>
          <w:b w:val="false"/>
          <w:i w:val="false"/>
          <w:color w:val="000000"/>
          <w:sz w:val="22"/>
        </w:rPr>
        <w:t xml:space="preserve">An owner or operator may satisfy the requirements of </w:t>
      </w:r>
      <w:hyperlink r:id="rId20">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 xml:space="preserve">(455D) by establishing more than one financial assurance instrument per site, except that instruments guaranteeing performance rather than payment may not be combined with other instruments. The instruments must be a combination of those instruments outlined in </w:t>
      </w:r>
      <w:hyperlink r:id="rId21">
        <w:r>
          <w:rPr>
            <w:rStyle w:val="Hyperlink"/>
            <w:rFonts w:ascii="Times New Roman" w:hAnsi="Times New Roman"/>
            <w:b w:val="false"/>
            <w:i w:val="false"/>
            <w:color w:val="000000"/>
            <w:sz w:val="22"/>
          </w:rPr>
          <w:t>102.410(3)</w:t>
        </w:r>
      </w:hyperlink>
      <w:r>
        <w:rPr>
          <w:rFonts w:ascii="Times New Roman" w:hAnsi="Times New Roman"/>
          <w:b w:val="false"/>
          <w:i w:val="false"/>
          <w:color w:val="000000"/>
          <w:sz w:val="22"/>
        </w:rPr>
        <w:t xml:space="preserve"> and must provide financial assurance for an amount sufficient to satisfy the requirements of </w:t>
      </w:r>
      <w:hyperlink r:id="rId22">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102.410(5)</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The requirement for financial assurance shall not apply to waste tire stockpiling or processing sites operated by a city or county or operated in conjunction with a permitted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102.410(6)</w:t>
      </w:r>
      <w:r>
        <w:rPr>
          <w:rFonts w:ascii="Times New Roman" w:hAnsi="Times New Roman"/>
          <w:b w:val="false"/>
          <w:i w:val="false"/>
          <w:color w:val="000000"/>
          <w:sz w:val="22"/>
        </w:rPr>
        <w:t> </w:t>
      </w:r>
      <w:r>
        <w:rPr>
          <w:rFonts w:ascii="Times New Roman" w:hAnsi="Times New Roman"/>
          <w:b w:val="false"/>
          <w:i/>
          <w:color w:val="000000"/>
          <w:sz w:val="22"/>
        </w:rPr>
        <w:t xml:space="preserve">Benefit of creditors; final judgment. </w:t>
      </w:r>
      <w:r>
        <w:rPr>
          <w:rFonts w:ascii="Times New Roman" w:hAnsi="Times New Roman"/>
          <w:b w:val="false"/>
          <w:i w:val="false"/>
          <w:color w:val="000000"/>
          <w:sz w:val="22"/>
        </w:rPr>
        <w:t>The financial assurance instrument shall not be assigned for the benefit of creditors with the exception of the state and shall not be used to pay any final judgment against a permit holder arising out of the ownership or operation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102.410(7)</w:t>
      </w:r>
      <w:r>
        <w:rPr>
          <w:rFonts w:ascii="Times New Roman" w:hAnsi="Times New Roman"/>
          <w:b w:val="false"/>
          <w:i w:val="false"/>
          <w:color w:val="000000"/>
          <w:sz w:val="22"/>
        </w:rPr>
        <w:t> </w:t>
      </w:r>
      <w:r>
        <w:rPr>
          <w:rFonts w:ascii="Times New Roman" w:hAnsi="Times New Roman"/>
          <w:b w:val="false"/>
          <w:i/>
          <w:color w:val="000000"/>
          <w:sz w:val="22"/>
        </w:rPr>
        <w:t xml:space="preserve">Failure to undertake closure activities. </w:t>
      </w:r>
      <w:r>
        <w:rPr>
          <w:rFonts w:ascii="Times New Roman" w:hAnsi="Times New Roman"/>
          <w:b w:val="false"/>
          <w:i w:val="false"/>
          <w:color w:val="000000"/>
          <w:sz w:val="22"/>
        </w:rPr>
        <w:t>The department shall have full rights of access to all funds existing in a permitted facility’s financial assurance instrument(s), at the sole discretion of the department, if the permit holder fails to undertake closure activities after being directed to do so by a final agency action of the department. These funds shall be used only for the purposes of funding closure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102.410(8)</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alternative financial assurance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applicable closure requirements. The financial assurance provider shall give at least 90 days’ notice in writing to the owner or operator and to the department in the event of any intent to cancel a financial assurance instrument,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written notice of cancellation of a financial assurance instrument, the owner or operator must provide the department with proof of alternative financial assurance or notice from the issuing institution of withdrawal of the cancellation. If a means of continued financial assurance is not provided within the 30-day time frame,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perform proper closure within 30 days of the permit suspension, termination, revocation, or expiration. For the purpose of this subrule, proper closure means removal of all waste tires and related products from the site or facility through acceptable disposal or processing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this shall constitute a failure to perform and the department shall file a claim with the financial assurance instrument provider to collect the amount of funds necessary to properly close the site prior to the expiration of the 90-day notice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financial assurance instrument provided to the department must remain in continuous effect until the department gives written notification to the owner, operator, and financial assurance provider that the covered site has been properly closed. 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180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payment from any financial assurance provider for the purpose of completing proper site closure when the owner or operator declares an economic inability to comply with this rule either by sending written notification to the department or through an action such as but not limited to filing for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D.11A.pdf" Type="http://schemas.openxmlformats.org/officeDocument/2006/relationships/hyperlink" Id="rId4"/>
    <Relationship TargetMode="External" Target="https://www.legis.iowa.gov/docs/iac/rule/567.102.409.pdf" Type="http://schemas.openxmlformats.org/officeDocument/2006/relationships/hyperlink" Id="rId5"/>
    <Relationship TargetMode="External" Target="https://www.legis.iowa.gov/docs/iac/rule/567.102.410.pdf" Type="http://schemas.openxmlformats.org/officeDocument/2006/relationships/hyperlink" Id="rId6"/>
    <Relationship TargetMode="External" Target="https://www.legis.iowa.gov/docs/ico/chapter/455D.11A.pdf" Type="http://schemas.openxmlformats.org/officeDocument/2006/relationships/hyperlink" Id="rId7"/>
    <Relationship TargetMode="External" Target="https://www.legis.iowa.gov/docs/iac/rule/567.102.410.pdf" Type="http://schemas.openxmlformats.org/officeDocument/2006/relationships/hyperlink" Id="rId8"/>
    <Relationship TargetMode="External" Target="https://www.legis.iowa.gov/docs/iac/rule/567.102.410.pdf" Type="http://schemas.openxmlformats.org/officeDocument/2006/relationships/hyperlink" Id="rId9"/>
    <Relationship TargetMode="External" Target="https://www.legis.iowa.gov/docs/iac/rule/567.102.410.pdf" Type="http://schemas.openxmlformats.org/officeDocument/2006/relationships/hyperlink" Id="rId10"/>
    <Relationship TargetMode="External" Target="https://www.legis.iowa.gov/docs/iac/rule/567.102.410.pdf" Type="http://schemas.openxmlformats.org/officeDocument/2006/relationships/hyperlink" Id="rId11"/>
    <Relationship TargetMode="External" Target="https://www.legis.iowa.gov/docs/iac/rule/567.102.410.pdf" Type="http://schemas.openxmlformats.org/officeDocument/2006/relationships/hyperlink" Id="rId12"/>
    <Relationship TargetMode="External" Target="https://www.legis.iowa.gov/docs/iac/rule/567.102.410.pdf" Type="http://schemas.openxmlformats.org/officeDocument/2006/relationships/hyperlink" Id="rId13"/>
    <Relationship TargetMode="External" Target="https://www.legis.iowa.gov/docs/iac/rule/567.102.410.pdf" Type="http://schemas.openxmlformats.org/officeDocument/2006/relationships/hyperlink" Id="rId14"/>
    <Relationship TargetMode="External" Target="https://www.legis.iowa.gov/docs/iac/rule/567.102.410.pdf" Type="http://schemas.openxmlformats.org/officeDocument/2006/relationships/hyperlink" Id="rId15"/>
    <Relationship TargetMode="External" Target="https://www.legis.iowa.gov/docs/iac/rule/567.102.410.pdf" Type="http://schemas.openxmlformats.org/officeDocument/2006/relationships/hyperlink" Id="rId16"/>
    <Relationship TargetMode="External" Target="https://www.legis.iowa.gov/docs/iac/rule/567.102.410.pdf" Type="http://schemas.openxmlformats.org/officeDocument/2006/relationships/hyperlink" Id="rId17"/>
    <Relationship TargetMode="External" Target="https://www.legis.iowa.gov/docs/iac/rule/567.102.410.pdf" Type="http://schemas.openxmlformats.org/officeDocument/2006/relationships/hyperlink" Id="rId18"/>
    <Relationship TargetMode="External" Target="https://www.legis.iowa.gov/docs/iac/rule/567.102.410.pdf" Type="http://schemas.openxmlformats.org/officeDocument/2006/relationships/hyperlink" Id="rId19"/>
    <Relationship TargetMode="External" Target="https://www.legis.iowa.gov/docs/iac/rule/567.102.410.pdf" Type="http://schemas.openxmlformats.org/officeDocument/2006/relationships/hyperlink" Id="rId20"/>
    <Relationship TargetMode="External" Target="https://www.legis.iowa.gov/docs/iac/rule/567.102.410.pdf" Type="http://schemas.openxmlformats.org/officeDocument/2006/relationships/hyperlink" Id="rId21"/>
    <Relationship TargetMode="External" Target="https://www.legis.iowa.gov/docs/iac/rule/567.102.410.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