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567—102.400</w:t>
      </w:r>
      <w:r>
        <w:rPr>
          <w:rFonts w:ascii="Times New Roman" w:hAnsi="Times New Roman"/>
          <w:b/>
          <w:i w:val="false"/>
          <w:color w:val="000000"/>
          <w:sz w:val="22"/>
        </w:rPr>
        <w:t xml:space="preserve">(455D)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division is to establish guidelines for the proper management of waste tires, including collection, hauling, storage, processing, disposal, and beneficial reuse of waste tires and processed waste tire materials. This division shall not be construed to exempt a waste tire stockpile site, processing facility, or waste tire hauler from compliance with more stringent local ordinances, fire codes, or other applicable statutes.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