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w:t>
      </w:r>
      <w:r>
        <w:rPr>
          <w:rFonts w:ascii="Times New Roman" w:hAnsi="Times New Roman"/>
          <w:b/>
          <w:i w:val="false"/>
          <w:color w:val="000000"/>
          <w:sz w:val="22"/>
        </w:rPr>
        <w:t xml:space="preserve">(455D)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The following activities are exempt from this division. These exemptions are not a defense to a nuisance action brought pursuant to Iowa Code chapter </w:t>
      </w:r>
      <w:hyperlink r:id="rId4">
        <w:r>
          <w:rPr>
            <w:rStyle w:val="Hyperlink"/>
            <w:rFonts w:ascii="Times New Roman" w:hAnsi="Times New Roman"/>
            <w:b w:val="false"/>
            <w:i w:val="false"/>
            <w:color w:val="000000"/>
            <w:sz w:val="22"/>
          </w:rPr>
          <w:t>657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val="false"/>
          <w:color w:val="000000"/>
          <w:sz w:val="22"/>
        </w:rPr>
        <w:t>Type A or Type B, or both, feedstocks from a single household composted on site by the owner or tenant for use at the owner’s or tenant’s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val="false"/>
          <w:color w:val="000000"/>
          <w:sz w:val="22"/>
        </w:rPr>
        <w:t>Composting of up to two tons per year of Type A feedstock or Type B feedstock, or both, excluding dead animals, singly or in combination, used on the same premises where it was composted. The feedstock may be generated off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Composting of manure that is subject to </w:t>
      </w:r>
      <w:hyperlink r:id="rId5">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and other provisions of Iowa law, unless mixed with wastes regulated pursuant to this chapter other than necessary bulking agents (such as wood chips, straw, cornstalks, bedding, and dry poultry litter).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102.4(4)</w:t>
      </w:r>
      <w:r>
        <w:rPr>
          <w:rFonts w:ascii="Times New Roman" w:hAnsi="Times New Roman"/>
          <w:b w:val="false"/>
          <w:i w:val="false"/>
          <w:color w:val="000000"/>
          <w:sz w:val="22"/>
        </w:rPr>
        <w:t> </w:t>
      </w:r>
      <w:r>
        <w:rPr>
          <w:rFonts w:ascii="Times New Roman" w:hAnsi="Times New Roman"/>
          <w:b w:val="false"/>
          <w:i w:val="false"/>
          <w:color w:val="000000"/>
          <w:sz w:val="22"/>
        </w:rPr>
        <w:t>Composting of dead animals, unless mixed with wastes regulated pursuant to this chapter other than necessary bulking agents (such as wood chips, straw, cornstalks, bedding, and dry poultry litter).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57.pdf" Type="http://schemas.openxmlformats.org/officeDocument/2006/relationships/hyperlink" Id="rId4"/>
    <Relationship TargetMode="External" Target="https://www.legis.iowa.gov/docs/iac/chapter/567.6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