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567—102.304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requirements for beneficial use determinations. </w:t>
      </w:r>
      <w:r>
        <w:rPr>
          <w:rFonts w:ascii="Times New Roman" w:hAnsi="Times New Roman"/>
          <w:b w:val="false"/>
          <w:i w:val="false"/>
          <w:color w:val="000000"/>
          <w:sz w:val="22"/>
        </w:rPr>
        <w:t xml:space="preserve">Unless the beneficial use is approved pursuant to </w:t>
      </w:r>
      <w:hyperlink r:id="rId4">
        <w:r>
          <w:rPr>
            <w:rStyle w:val="Hyperlink"/>
            <w:rFonts w:ascii="Times New Roman" w:hAnsi="Times New Roman"/>
            <w:b w:val="false"/>
            <w:i w:val="false"/>
            <w:color w:val="000000"/>
            <w:sz w:val="22"/>
          </w:rPr>
          <w:t>567—102.303</w:t>
        </w:r>
      </w:hyperlink>
      <w:r>
        <w:rPr>
          <w:rFonts w:ascii="Times New Roman" w:hAnsi="Times New Roman"/>
          <w:b w:val="false"/>
          <w:i w:val="false"/>
          <w:color w:val="000000"/>
          <w:sz w:val="22"/>
        </w:rPr>
        <w:t>(455B), applicants will need to submit the following information on a form prescribed by the department. The department may request that additional information be submitted in order to make a beneficial use determination. The department may also require specific conditions on a beneficial use determination and issue a temporary determination on a trial basis.</w:t>
      </w:r>
    </w:p>
    <w:p>
      <w:pPr>
        <w:spacing w:before="0" w:after="0"/>
        <w:ind w:left="120"/>
        <w:jc w:val="both"/>
      </w:pPr>
      <w:r>
        <w:rPr>
          <w:rFonts w:ascii="Times New Roman" w:hAnsi="Times New Roman"/>
          <w:b w:val="false"/>
          <w:i w:val="false"/>
          <w:color w:val="000000"/>
          <w:sz w:val="22"/>
        </w:rPr>
        <w:t>A generator, user, or proposed user of a solid by-product may apply to the department in writing for a beneficial use determination. 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by the state of Iowa and retained for the project, if any. The department may, at its sole discretion, require the applicant to retain a professional engineer for the project or specific parts thereof in order to obtain a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102.304(2)</w:t>
      </w:r>
      <w:r>
        <w:rPr>
          <w:rFonts w:ascii="Times New Roman" w:hAnsi="Times New Roman"/>
          <w:b w:val="false"/>
          <w:i w:val="false"/>
          <w:color w:val="000000"/>
          <w:sz w:val="22"/>
        </w:rPr>
        <w:t> </w:t>
      </w:r>
      <w:r>
        <w:rPr>
          <w:rFonts w:ascii="Times New Roman" w:hAnsi="Times New Roman"/>
          <w:b w:val="false"/>
          <w:i w:val="false"/>
          <w:color w:val="000000"/>
          <w:sz w:val="22"/>
        </w:rPr>
        <w:t>Scaled map or aerial photograph locating the boundaries of the proposed beneficial use site, if applicable,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lines and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including load limits or other restrictions on those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102.304(3)</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solid by-product under review and its proposed use, including the process that will be used to transport and handle the solid by-product, including any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102.304(4)</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solid by-product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102.304(5)</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market for the intended use of the solid by-product under review by providing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to purchase or utilize the solid by-product for the use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solid by-product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solid by-product complies with industry standards and specifications for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by persons other than the generator must be accompanied by written consent for the proposed use from the generator.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a market for the solid by-product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102.304(6)</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solid by-product will not adversely affect human health and the environment. On a form prescribed by the department, the demonstration may include but is not limited to a toxicity characteristics leaching procedure analysis and total metals testing of a representative sample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102.304(7)</w:t>
      </w:r>
      <w:r>
        <w:rPr>
          <w:rFonts w:ascii="Times New Roman" w:hAnsi="Times New Roman"/>
          <w:b w:val="false"/>
          <w:i w:val="false"/>
          <w:color w:val="000000"/>
          <w:sz w:val="22"/>
        </w:rPr>
        <w:t> </w:t>
      </w:r>
      <w:r>
        <w:rPr>
          <w:rFonts w:ascii="Times New Roman" w:hAnsi="Times New Roman"/>
          <w:b w:val="false"/>
          <w:i w:val="false"/>
          <w:color w:val="000000"/>
          <w:sz w:val="22"/>
        </w:rPr>
        <w:t xml:space="preserve">A solid by-product management plan pursuant to </w:t>
      </w:r>
      <w:hyperlink r:id="rId5">
        <w:r>
          <w:rPr>
            <w:rStyle w:val="Hyperlink"/>
            <w:rFonts w:ascii="Times New Roman" w:hAnsi="Times New Roman"/>
            <w:b w:val="false"/>
            <w:i w:val="false"/>
            <w:color w:val="000000"/>
            <w:sz w:val="22"/>
          </w:rPr>
          <w:t>102.305(3)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303.pdf" Type="http://schemas.openxmlformats.org/officeDocument/2006/relationships/hyperlink" Id="rId4"/>
    <Relationship TargetMode="External" Target="https://www.legis.iowa.gov/docs/iac/rule/567.102.3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