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567—102.212</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for landfarms. </w:t>
      </w:r>
      <w:r>
        <w:rPr>
          <w:rFonts w:ascii="Times New Roman" w:hAnsi="Times New Roman"/>
          <w:b w:val="false"/>
          <w:i w:val="false"/>
          <w:color w:val="000000"/>
          <w:sz w:val="22"/>
        </w:rPr>
        <w:t xml:space="preserve">The holder of a sanitary disposal project permit for a landfarm must obtain and submit a financial assurance instrument to the department in accordance with this rule. The financial assurance instrument shall provide monetary funds for the purpose of conducting closure activities at the landfarm plot(s) due to the permit holder’s failure to properly close the site as required in accordance with </w:t>
      </w:r>
      <w:hyperlink r:id="rId4">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landfarm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at the time of application for a permit for a landfarm application permit.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 xml:space="preserve">The estimate submitted to the department must be certified by a professional engineer and account for at least the following factors determined by the department to be minimal necessary costs for closure pursuant to </w:t>
      </w:r>
      <w:hyperlink r:id="rId5">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costs to conduct soil sampling and properly clean all equipment and storage areas at the landfarm plot(s).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PCS is temporarily stored on site prior to incorporation, then this estimate shall include third-party labor and transportation costs and total tip fees to properly dispose of all PCS equal to the maximum storage capacity 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102.212(4)</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6">
        <w:r>
          <w:rPr>
            <w:rStyle w:val="Hyperlink"/>
            <w:rFonts w:ascii="Times New Roman" w:hAnsi="Times New Roman"/>
            <w:b w:val="false"/>
            <w:i w:val="false"/>
            <w:color w:val="000000"/>
            <w:sz w:val="22"/>
          </w:rPr>
          <w:t>102.212(3)</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7">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8">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9">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10">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guarantee pursuant to </w:t>
      </w:r>
      <w:hyperlink r:id="rId11">
        <w:r>
          <w:rPr>
            <w:rStyle w:val="Hyperlink"/>
            <w:rFonts w:ascii="Times New Roman" w:hAnsi="Times New Roman"/>
            <w:b w:val="false"/>
            <w:i w:val="false"/>
            <w:color w:val="000000"/>
            <w:sz w:val="22"/>
          </w:rPr>
          <w:t>567—subrule 101.707(8)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dedicated fund pursuant to </w:t>
      </w:r>
      <w:hyperlink r:id="rId12">
        <w:r>
          <w:rPr>
            <w:rStyle w:val="Hyperlink"/>
            <w:rFonts w:ascii="Times New Roman" w:hAnsi="Times New Roman"/>
            <w:b w:val="false"/>
            <w:i w:val="false"/>
            <w:color w:val="000000"/>
            <w:sz w:val="22"/>
          </w:rPr>
          <w:t>567—subrule 101.707(9)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211.pdf" Type="http://schemas.openxmlformats.org/officeDocument/2006/relationships/hyperlink" Id="rId4"/>
    <Relationship TargetMode="External" Target="https://www.legis.iowa.gov/docs/iac/rule/567.102.211.pdf" Type="http://schemas.openxmlformats.org/officeDocument/2006/relationships/hyperlink" Id="rId5"/>
    <Relationship TargetMode="External" Target="https://www.legis.iowa.gov/docs/iac/rule/567.102.212.pdf" Type="http://schemas.openxmlformats.org/officeDocument/2006/relationships/hyperlink" Id="rId6"/>
    <Relationship TargetMode="External" Target="https://www.legis.iowa.gov/docs/iac/rule/567.101.707.pdf" Type="http://schemas.openxmlformats.org/officeDocument/2006/relationships/hyperlink" Id="rId7"/>
    <Relationship TargetMode="External" Target="https://www.legis.iowa.gov/docs/iac/rule/567.101.707.pdf" Type="http://schemas.openxmlformats.org/officeDocument/2006/relationships/hyperlink" Id="rId8"/>
    <Relationship TargetMode="External" Target="https://www.legis.iowa.gov/docs/iac/rule/567.101.707.pdf" Type="http://schemas.openxmlformats.org/officeDocument/2006/relationships/hyperlink" Id="rId9"/>
    <Relationship TargetMode="External" Target="https://www.legis.iowa.gov/docs/iac/rule/567.101.707.pdf" Type="http://schemas.openxmlformats.org/officeDocument/2006/relationships/hyperlink" Id="rId10"/>
    <Relationship TargetMode="External" Target="https://www.legis.iowa.gov/docs/iac/rule/567.101.707.pdf" Type="http://schemas.openxmlformats.org/officeDocument/2006/relationships/hyperlink" Id="rId11"/>
    <Relationship TargetMode="External" Target="https://www.legis.iowa.gov/docs/iac/rule/567.101.707.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