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567—102.211</w:t>
      </w:r>
      <w:r>
        <w:rPr>
          <w:rFonts w:ascii="Times New Roman" w:hAnsi="Times New Roman"/>
          <w:b/>
          <w:i w:val="false"/>
          <w:color w:val="000000"/>
          <w:sz w:val="22"/>
        </w:rPr>
        <w:t xml:space="preserve">(455B) </w:t>
      </w:r>
      <w:r>
        <w:rPr>
          <w:rFonts w:ascii="Times New Roman" w:hAnsi="Times New Roman"/>
          <w:b/>
          <w:i w:val="false"/>
          <w:color w:val="000000"/>
          <w:sz w:val="22"/>
        </w:rPr>
        <w:t xml:space="preserve">Landfarm closure.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102.211(1)</w:t>
      </w:r>
      <w:r>
        <w:rPr>
          <w:rFonts w:ascii="Times New Roman" w:hAnsi="Times New Roman"/>
          <w:b w:val="false"/>
          <w:i w:val="false"/>
          <w:color w:val="000000"/>
          <w:sz w:val="22"/>
        </w:rPr>
        <w:t> </w:t>
      </w:r>
      <w:r>
        <w:rPr>
          <w:rFonts w:ascii="Times New Roman" w:hAnsi="Times New Roman"/>
          <w:b w:val="false"/>
          <w:i w:val="false"/>
          <w:color w:val="000000"/>
          <w:sz w:val="22"/>
        </w:rPr>
        <w:t>A landfarm shall be closed three years after the application of PCS unless otherwise authorized or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102.211(2)</w:t>
      </w:r>
      <w:r>
        <w:rPr>
          <w:rFonts w:ascii="Times New Roman" w:hAnsi="Times New Roman"/>
          <w:b w:val="false"/>
          <w:i w:val="false"/>
          <w:color w:val="000000"/>
          <w:sz w:val="22"/>
        </w:rPr>
        <w:t> </w:t>
      </w:r>
      <w:r>
        <w:rPr>
          <w:rFonts w:ascii="Times New Roman" w:hAnsi="Times New Roman"/>
          <w:b w:val="false"/>
          <w:i w:val="false"/>
          <w:color w:val="000000"/>
          <w:sz w:val="22"/>
        </w:rPr>
        <w:t>A landfarm may be closed if, at least six months after the application of PCS, documentation has been submitted and acknowledged in writing by the department that each landfarm plot has been tested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sample from each 10,000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(e.g., 100-foot × 100-foot area) of landfarm plot is analyzed pursuant to </w:t>
      </w:r>
      <w:hyperlink r:id="rId4">
        <w:r>
          <w:rPr>
            <w:rStyle w:val="Hyperlink"/>
            <w:rFonts w:ascii="Times New Roman" w:hAnsi="Times New Roman"/>
            <w:b w:val="false"/>
            <w:i w:val="false"/>
            <w:color w:val="000000"/>
            <w:sz w:val="22"/>
          </w:rPr>
          <w:t>102.205(2)</w:t>
        </w:r>
      </w:hyperlink>
      <w:r>
        <w:rPr>
          <w:rFonts w:ascii="Times New Roman" w:hAnsi="Times New Roman"/>
          <w:b w:val="false"/>
          <w:i/>
          <w:color w:val="000000"/>
          <w:sz w:val="22"/>
        </w:rPr>
        <w:t>“c”</w:t>
      </w:r>
      <w:r>
        <w:rPr>
          <w:rFonts w:ascii="Times New Roman" w:hAnsi="Times New Roman"/>
          <w:b w:val="false"/>
          <w:i w:val="false"/>
          <w:color w:val="000000"/>
          <w:sz w:val="22"/>
        </w:rPr>
        <w:t xml:space="preserve">(1), </w:t>
      </w:r>
      <w:r>
        <w:rPr>
          <w:rFonts w:ascii="Times New Roman" w:hAnsi="Times New Roman"/>
          <w:b w:val="false"/>
          <w:i/>
          <w:color w:val="000000"/>
          <w:sz w:val="22"/>
        </w:rPr>
        <w:t>“c”</w:t>
      </w:r>
      <w:r>
        <w:rPr>
          <w:rFonts w:ascii="Times New Roman" w:hAnsi="Times New Roman"/>
          <w:b w:val="false"/>
          <w:i w:val="false"/>
          <w:color w:val="000000"/>
          <w:sz w:val="22"/>
        </w:rPr>
        <w:t xml:space="preserve">(2), and </w:t>
      </w:r>
      <w:r>
        <w:rPr>
          <w:rFonts w:ascii="Times New Roman" w:hAnsi="Times New Roman"/>
          <w:b w:val="false"/>
          <w:i/>
          <w:color w:val="000000"/>
          <w:sz w:val="22"/>
        </w:rPr>
        <w:t>“c”</w:t>
      </w:r>
      <w:r>
        <w:rPr>
          <w:rFonts w:ascii="Times New Roman" w:hAnsi="Times New Roman"/>
          <w:b w:val="false"/>
          <w:i w:val="false"/>
          <w:color w:val="000000"/>
          <w:sz w:val="22"/>
        </w:rPr>
        <w:t>(3). A minimum of one sample per landfarm plot shall be obtained. All samples shall be obtained from between the top two to six inches of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the tests in </w:t>
      </w:r>
      <w:hyperlink r:id="rId5">
        <w:r>
          <w:rPr>
            <w:rStyle w:val="Hyperlink"/>
            <w:rFonts w:ascii="Times New Roman" w:hAnsi="Times New Roman"/>
            <w:b w:val="false"/>
            <w:i w:val="false"/>
            <w:color w:val="000000"/>
            <w:sz w:val="22"/>
          </w:rPr>
          <w:t>102.211(2)</w:t>
        </w:r>
      </w:hyperlink>
      <w:r>
        <w:rPr>
          <w:rFonts w:ascii="Times New Roman" w:hAnsi="Times New Roman"/>
          <w:b w:val="false"/>
          <w:i/>
          <w:color w:val="000000"/>
          <w:sz w:val="22"/>
        </w:rPr>
        <w:t>“a”</w:t>
      </w:r>
      <w:r>
        <w:rPr>
          <w:rFonts w:ascii="Times New Roman" w:hAnsi="Times New Roman"/>
          <w:b w:val="false"/>
          <w:i w:val="false"/>
          <w:color w:val="000000"/>
          <w:sz w:val="22"/>
        </w:rPr>
        <w:t xml:space="preserve"> demonstrate that petroleum constituent concentrations are less than 0.54 mg/kg for benzene, 42 mg/kg for toluene, 15 mg/kg for ethylbenzene, 3800 mg/kg for TEH-diesel and 0.02 mg/kg for MTBE.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2.205.pdf" Type="http://schemas.openxmlformats.org/officeDocument/2006/relationships/hyperlink" Id="rId4"/>
    <Relationship TargetMode="External" Target="https://www.legis.iowa.gov/docs/iac/rule/567.102.211.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