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567—102.210</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Reporting and 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102.210(1)</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following information shall be submitted to the department on a form provided by the department. All reporting submissions shall include the name, address, and telephone number of the landfarm and permit holder, as well as the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Storage notification. </w:t>
      </w:r>
      <w:r>
        <w:rPr>
          <w:rFonts w:ascii="Times New Roman" w:hAnsi="Times New Roman"/>
          <w:b w:val="false"/>
          <w:i w:val="false"/>
          <w:color w:val="000000"/>
          <w:sz w:val="22"/>
        </w:rPr>
        <w:t xml:space="preserve">Landfarms shall submit the following information to the department and department field office with jurisdiction over the landfarm before receipt of the PCS for storage; however, at least 30 days’ notification is encouraged. PCS storage information from an emergency cleanup supervised by the department pursuant to </w:t>
      </w:r>
      <w:hyperlink r:id="rId4">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however, shall be reported within seven days of the emergency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PCS is expected to be delivered for storage at the landfarm.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PCS will be stored at the landfarm.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spill number, UST registration number, and leaking UST (LUST) number,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Land application notification. </w:t>
      </w:r>
      <w:r>
        <w:rPr>
          <w:rFonts w:ascii="Times New Roman" w:hAnsi="Times New Roman"/>
          <w:b w:val="false"/>
          <w:i w:val="false"/>
          <w:color w:val="000000"/>
          <w:sz w:val="22"/>
        </w:rPr>
        <w:t xml:space="preserve">Landfarms shall submit the following information to the department and department field office with jurisdiction over the landfarm before land application; however, at least 30 days’ notification is encouraged. PCS information from an emergency cleanup supervised by the department pursuant to </w:t>
      </w:r>
      <w:hyperlink r:id="rId5">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however, shall be reported within seven days of the emergency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PCS is expected to be applied to the land. If the PCS is not applied on this date, the department shall be informed of the actual application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physical address or parcel identification number for the landfarm location, a legible topographic map or aerial photo, a USDA soil map with key, and a map of the 100-year floodplain illustrating and labeling where the PCS is to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rate calculations pursuant to </w:t>
      </w:r>
      <w:hyperlink r:id="rId6">
        <w:r>
          <w:rPr>
            <w:rStyle w:val="Hyperlink"/>
            <w:rFonts w:ascii="Times New Roman" w:hAnsi="Times New Roman"/>
            <w:b w:val="false"/>
            <w:i w:val="false"/>
            <w:color w:val="000000"/>
            <w:sz w:val="22"/>
          </w:rPr>
          <w:t>102.208(6)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spill number, UST registration number, and LUST number,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PCS analysis and characterization. </w:t>
      </w:r>
      <w:r>
        <w:rPr>
          <w:rFonts w:ascii="Times New Roman" w:hAnsi="Times New Roman"/>
          <w:b w:val="false"/>
          <w:i w:val="false"/>
          <w:color w:val="000000"/>
          <w:sz w:val="22"/>
        </w:rPr>
        <w:t xml:space="preserve">Information on the analysis and characterization of the PCS pursuant to </w:t>
      </w:r>
      <w:hyperlink r:id="rId7">
        <w:r>
          <w:rPr>
            <w:rStyle w:val="Hyperlink"/>
            <w:rFonts w:ascii="Times New Roman" w:hAnsi="Times New Roman"/>
            <w:b w:val="false"/>
            <w:i w:val="false"/>
            <w:color w:val="000000"/>
            <w:sz w:val="22"/>
          </w:rPr>
          <w:t>567—102.205</w:t>
        </w:r>
      </w:hyperlink>
      <w:r>
        <w:rPr>
          <w:rFonts w:ascii="Times New Roman" w:hAnsi="Times New Roman"/>
          <w:b w:val="false"/>
          <w:i w:val="false"/>
          <w:color w:val="000000"/>
          <w:sz w:val="22"/>
        </w:rPr>
        <w:t xml:space="preserve">(455B) shall be submitted to the department before receipt of the PCS for storage or land application; however, at least 30 days’ notification is encouraged. PCS analysis and characterization information from an emergency cleanup supervised by the department pursuant to </w:t>
      </w:r>
      <w:hyperlink r:id="rId8">
        <w:r>
          <w:rPr>
            <w:rStyle w:val="Hyperlink"/>
            <w:rFonts w:ascii="Times New Roman" w:hAnsi="Times New Roman"/>
            <w:b w:val="false"/>
            <w:i w:val="false"/>
            <w:color w:val="000000"/>
            <w:sz w:val="22"/>
          </w:rPr>
          <w:t>102.205(4)</w:t>
        </w:r>
      </w:hyperlink>
      <w:r>
        <w:rPr>
          <w:rFonts w:ascii="Times New Roman" w:hAnsi="Times New Roman"/>
          <w:b w:val="false"/>
          <w:i w:val="false"/>
          <w:color w:val="000000"/>
          <w:sz w:val="22"/>
        </w:rPr>
        <w:t>, however, shall be reported within 60 days of the emergency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102.210(2)</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All landfarm applicators shall maintain records of all information related to compliance with this division and the permit throughout the life of the landfarm and for three years after landfarm closure pursuant to </w:t>
      </w:r>
      <w:hyperlink r:id="rId9">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 This information shall be available to the department upon request. Applicable information includes but is not limited to the following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application information pursuant to </w:t>
      </w:r>
      <w:hyperlink r:id="rId10">
        <w:r>
          <w:rPr>
            <w:rStyle w:val="Hyperlink"/>
            <w:rFonts w:ascii="Times New Roman" w:hAnsi="Times New Roman"/>
            <w:b w:val="false"/>
            <w:i w:val="false"/>
            <w:color w:val="000000"/>
            <w:sz w:val="22"/>
          </w:rPr>
          <w:t>567—102.204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PCS analysis and characterization pursuant to </w:t>
      </w:r>
      <w:hyperlink r:id="rId11">
        <w:r>
          <w:rPr>
            <w:rStyle w:val="Hyperlink"/>
            <w:rFonts w:ascii="Times New Roman" w:hAnsi="Times New Roman"/>
            <w:b w:val="false"/>
            <w:i w:val="false"/>
            <w:color w:val="000000"/>
            <w:sz w:val="22"/>
          </w:rPr>
          <w:t>567—102.205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Site suitability information pursuant to </w:t>
      </w:r>
      <w:hyperlink r:id="rId12">
        <w:r>
          <w:rPr>
            <w:rStyle w:val="Hyperlink"/>
            <w:rFonts w:ascii="Times New Roman" w:hAnsi="Times New Roman"/>
            <w:b w:val="false"/>
            <w:i w:val="false"/>
            <w:color w:val="000000"/>
            <w:sz w:val="22"/>
          </w:rPr>
          <w:t>567—102.206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design requirements pursuant to </w:t>
      </w:r>
      <w:hyperlink r:id="rId13">
        <w:r>
          <w:rPr>
            <w:rStyle w:val="Hyperlink"/>
            <w:rFonts w:ascii="Times New Roman" w:hAnsi="Times New Roman"/>
            <w:b w:val="false"/>
            <w:i w:val="false"/>
            <w:color w:val="000000"/>
            <w:sz w:val="22"/>
          </w:rPr>
          <w:t>567—102.207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Operations information pursuant to </w:t>
      </w:r>
      <w:hyperlink r:id="rId14">
        <w:r>
          <w:rPr>
            <w:rStyle w:val="Hyperlink"/>
            <w:rFonts w:ascii="Times New Roman" w:hAnsi="Times New Roman"/>
            <w:b w:val="false"/>
            <w:i w:val="false"/>
            <w:color w:val="000000"/>
            <w:sz w:val="22"/>
          </w:rPr>
          <w:t>567—102.208</w:t>
        </w:r>
      </w:hyperlink>
      <w:r>
        <w:rPr>
          <w:rFonts w:ascii="Times New Roman" w:hAnsi="Times New Roman"/>
          <w:b w:val="false"/>
          <w:i w:val="false"/>
          <w:color w:val="000000"/>
          <w:sz w:val="22"/>
        </w:rPr>
        <w:t xml:space="preserve">(455B), in particular, application rate calculations pursuant to </w:t>
      </w:r>
      <w:hyperlink r:id="rId15">
        <w:r>
          <w:rPr>
            <w:rStyle w:val="Hyperlink"/>
            <w:rFonts w:ascii="Times New Roman" w:hAnsi="Times New Roman"/>
            <w:b w:val="false"/>
            <w:i w:val="false"/>
            <w:color w:val="000000"/>
            <w:sz w:val="22"/>
          </w:rPr>
          <w:t>102.208(6)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ERRAP documents pursuant to </w:t>
      </w:r>
      <w:hyperlink r:id="rId16">
        <w:r>
          <w:rPr>
            <w:rStyle w:val="Hyperlink"/>
            <w:rFonts w:ascii="Times New Roman" w:hAnsi="Times New Roman"/>
            <w:b w:val="false"/>
            <w:i w:val="false"/>
            <w:color w:val="000000"/>
            <w:sz w:val="22"/>
          </w:rPr>
          <w:t>567—102.209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submitted pursuant to </w:t>
      </w:r>
      <w:hyperlink r:id="rId17">
        <w:r>
          <w:rPr>
            <w:rStyle w:val="Hyperlink"/>
            <w:rFonts w:ascii="Times New Roman" w:hAnsi="Times New Roman"/>
            <w:b w:val="false"/>
            <w:i w:val="false"/>
            <w:color w:val="000000"/>
            <w:sz w:val="22"/>
          </w:rPr>
          <w:t>102.210(1)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information pursuant to </w:t>
      </w:r>
      <w:hyperlink r:id="rId18">
        <w:r>
          <w:rPr>
            <w:rStyle w:val="Hyperlink"/>
            <w:rFonts w:ascii="Times New Roman" w:hAnsi="Times New Roman"/>
            <w:b w:val="false"/>
            <w:i w:val="false"/>
            <w:color w:val="000000"/>
            <w:sz w:val="22"/>
          </w:rPr>
          <w:t>567—102.211</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205.pdf" Type="http://schemas.openxmlformats.org/officeDocument/2006/relationships/hyperlink" Id="rId4"/>
    <Relationship TargetMode="External" Target="https://www.legis.iowa.gov/docs/iac/rule/567.102.205.pdf" Type="http://schemas.openxmlformats.org/officeDocument/2006/relationships/hyperlink" Id="rId5"/>
    <Relationship TargetMode="External" Target="https://www.legis.iowa.gov/docs/iac/rule/567.102.208.pdf" Type="http://schemas.openxmlformats.org/officeDocument/2006/relationships/hyperlink" Id="rId6"/>
    <Relationship TargetMode="External" Target="https://www.legis.iowa.gov/docs/iac/rule/567.102.205.pdf" Type="http://schemas.openxmlformats.org/officeDocument/2006/relationships/hyperlink" Id="rId7"/>
    <Relationship TargetMode="External" Target="https://www.legis.iowa.gov/docs/iac/rule/567.102.205.pdf" Type="http://schemas.openxmlformats.org/officeDocument/2006/relationships/hyperlink" Id="rId8"/>
    <Relationship TargetMode="External" Target="https://www.legis.iowa.gov/docs/iac/rule/567.102.211.pdf" Type="http://schemas.openxmlformats.org/officeDocument/2006/relationships/hyperlink" Id="rId9"/>
    <Relationship TargetMode="External" Target="https://www.legis.iowa.gov/docs/iac/rule/567.102.204.pdf" Type="http://schemas.openxmlformats.org/officeDocument/2006/relationships/hyperlink" Id="rId10"/>
    <Relationship TargetMode="External" Target="https://www.legis.iowa.gov/docs/iac/rule/567.102.205.pdf" Type="http://schemas.openxmlformats.org/officeDocument/2006/relationships/hyperlink" Id="rId11"/>
    <Relationship TargetMode="External" Target="https://www.legis.iowa.gov/docs/iac/rule/567.102.206.pdf" Type="http://schemas.openxmlformats.org/officeDocument/2006/relationships/hyperlink" Id="rId12"/>
    <Relationship TargetMode="External" Target="https://www.legis.iowa.gov/docs/iac/rule/567.102.207.pdf" Type="http://schemas.openxmlformats.org/officeDocument/2006/relationships/hyperlink" Id="rId13"/>
    <Relationship TargetMode="External" Target="https://www.legis.iowa.gov/docs/iac/rule/567.102.208.pdf" Type="http://schemas.openxmlformats.org/officeDocument/2006/relationships/hyperlink" Id="rId14"/>
    <Relationship TargetMode="External" Target="https://www.legis.iowa.gov/docs/iac/rule/567.102.208.pdf" Type="http://schemas.openxmlformats.org/officeDocument/2006/relationships/hyperlink" Id="rId15"/>
    <Relationship TargetMode="External" Target="https://www.legis.iowa.gov/docs/iac/rule/567.102.209.pdf" Type="http://schemas.openxmlformats.org/officeDocument/2006/relationships/hyperlink" Id="rId16"/>
    <Relationship TargetMode="External" Target="https://www.legis.iowa.gov/docs/iac/rule/567.102.210.pdf" Type="http://schemas.openxmlformats.org/officeDocument/2006/relationships/hyperlink" Id="rId17"/>
    <Relationship TargetMode="External" Target="https://www.legis.iowa.gov/docs/iac/rule/567.102.21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