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567—102.208</w:t>
      </w:r>
      <w:r>
        <w:rPr>
          <w:rFonts w:ascii="Times New Roman" w:hAnsi="Times New Roman"/>
          <w:b/>
          <w:i w:val="false"/>
          <w:color w:val="000000"/>
          <w:sz w:val="22"/>
        </w:rPr>
        <w:t xml:space="preserve">(455B) </w:t>
      </w:r>
      <w:r>
        <w:rPr>
          <w:rFonts w:ascii="Times New Roman" w:hAnsi="Times New Roman"/>
          <w:b/>
          <w:i w:val="false"/>
          <w:color w:val="000000"/>
          <w:sz w:val="22"/>
        </w:rPr>
        <w:t xml:space="preserve">Landfarm operating requirements. </w:t>
      </w:r>
      <w:r>
        <w:rPr>
          <w:rFonts w:ascii="Times New Roman" w:hAnsi="Times New Roman"/>
          <w:b w:val="false"/>
          <w:i w:val="false"/>
          <w:color w:val="000000"/>
          <w:sz w:val="22"/>
        </w:rPr>
        <w:t>All landfarms shall comply with the following operating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102.208(1)</w:t>
      </w:r>
      <w:r>
        <w:rPr>
          <w:rFonts w:ascii="Times New Roman" w:hAnsi="Times New Roman"/>
          <w:b w:val="false"/>
          <w:i w:val="false"/>
          <w:color w:val="000000"/>
          <w:sz w:val="22"/>
        </w:rPr>
        <w:t> </w:t>
      </w:r>
      <w:r>
        <w:rPr>
          <w:rFonts w:ascii="Times New Roman" w:hAnsi="Times New Roman"/>
          <w:b w:val="false"/>
          <w:i/>
          <w:color w:val="000000"/>
          <w:sz w:val="22"/>
        </w:rPr>
        <w:t xml:space="preserve">Standard PCS. </w:t>
      </w:r>
      <w:r>
        <w:rPr>
          <w:rFonts w:ascii="Times New Roman" w:hAnsi="Times New Roman"/>
          <w:b w:val="false"/>
          <w:i w:val="false"/>
          <w:color w:val="000000"/>
          <w:sz w:val="22"/>
        </w:rPr>
        <w:t>Only standard PCS may be land applied or stored at a landfarm without a permit amendment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102.208(2)</w:t>
      </w:r>
      <w:r>
        <w:rPr>
          <w:rFonts w:ascii="Times New Roman" w:hAnsi="Times New Roman"/>
          <w:b w:val="false"/>
          <w:i w:val="false"/>
          <w:color w:val="000000"/>
          <w:sz w:val="22"/>
        </w:rPr>
        <w:t> </w:t>
      </w:r>
      <w:r>
        <w:rPr>
          <w:rFonts w:ascii="Times New Roman" w:hAnsi="Times New Roman"/>
          <w:b w:val="false"/>
          <w:i/>
          <w:color w:val="000000"/>
          <w:sz w:val="22"/>
        </w:rPr>
        <w:t xml:space="preserve">Nonstandard PCS. </w:t>
      </w:r>
      <w:r>
        <w:rPr>
          <w:rFonts w:ascii="Times New Roman" w:hAnsi="Times New Roman"/>
          <w:b w:val="false"/>
          <w:i w:val="false"/>
          <w:color w:val="000000"/>
          <w:sz w:val="22"/>
        </w:rPr>
        <w:t xml:space="preserve">A permit amendment from the department, pursuant to </w:t>
      </w:r>
      <w:hyperlink r:id="rId4">
        <w:r>
          <w:rPr>
            <w:rStyle w:val="Hyperlink"/>
            <w:rFonts w:ascii="Times New Roman" w:hAnsi="Times New Roman"/>
            <w:b w:val="false"/>
            <w:i w:val="false"/>
            <w:color w:val="000000"/>
            <w:sz w:val="22"/>
          </w:rPr>
          <w:t>567—subrule 100.5(4)</w:t>
        </w:r>
      </w:hyperlink>
      <w:r>
        <w:rPr>
          <w:rFonts w:ascii="Times New Roman" w:hAnsi="Times New Roman"/>
          <w:b w:val="false"/>
          <w:i w:val="false"/>
          <w:color w:val="000000"/>
          <w:sz w:val="22"/>
        </w:rPr>
        <w:t xml:space="preserve"> shall be obtained for each particular source and type of nonstandard PCS before that PCS may be land applied or stored at a landfarm. The permit amendment application shall include a justification of how the PCS can be safely and effectively remediated by landfarming.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102.208(3)</w:t>
      </w:r>
      <w:r>
        <w:rPr>
          <w:rFonts w:ascii="Times New Roman" w:hAnsi="Times New Roman"/>
          <w:b w:val="false"/>
          <w:i w:val="false"/>
          <w:color w:val="000000"/>
          <w:sz w:val="22"/>
        </w:rPr>
        <w:t> </w:t>
      </w:r>
      <w:r>
        <w:rPr>
          <w:rFonts w:ascii="Times New Roman" w:hAnsi="Times New Roman"/>
          <w:b w:val="false"/>
          <w:i/>
          <w:color w:val="000000"/>
          <w:sz w:val="22"/>
        </w:rPr>
        <w:t xml:space="preserve">Saturated or slurry PCS. </w:t>
      </w:r>
      <w:r>
        <w:rPr>
          <w:rFonts w:ascii="Times New Roman" w:hAnsi="Times New Roman"/>
          <w:b w:val="false"/>
          <w:i w:val="false"/>
          <w:color w:val="000000"/>
          <w:sz w:val="22"/>
        </w:rPr>
        <w:t>PCS in a saturated or slurry condition shall not be applied to the land or stored at a landfarm. PCS in such a condition shall be bulked with other biodegradable materials (e.g., compost, mulch) until it is no longer saturated or in a slurry before it is applied to the land or stored at a landfarm.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102.208(4)</w:t>
      </w:r>
      <w:r>
        <w:rPr>
          <w:rFonts w:ascii="Times New Roman" w:hAnsi="Times New Roman"/>
          <w:b w:val="false"/>
          <w:i w:val="false"/>
          <w:color w:val="000000"/>
          <w:sz w:val="22"/>
        </w:rPr>
        <w:t> </w:t>
      </w:r>
      <w:r>
        <w:rPr>
          <w:rFonts w:ascii="Times New Roman" w:hAnsi="Times New Roman"/>
          <w:b w:val="false"/>
          <w:i/>
          <w:color w:val="000000"/>
          <w:sz w:val="22"/>
        </w:rPr>
        <w:t xml:space="preserve">Storage. </w:t>
      </w:r>
      <w:r>
        <w:rPr>
          <w:rFonts w:ascii="Times New Roman" w:hAnsi="Times New Roman"/>
          <w:b w:val="false"/>
          <w:i w:val="false"/>
          <w:color w:val="000000"/>
          <w:sz w:val="22"/>
        </w:rPr>
        <w:t xml:space="preserve">PCS shall be stored during the non-landfarm season, except as allowed by </w:t>
      </w:r>
      <w:hyperlink r:id="rId5">
        <w:r>
          <w:rPr>
            <w:rStyle w:val="Hyperlink"/>
            <w:rFonts w:ascii="Times New Roman" w:hAnsi="Times New Roman"/>
            <w:b w:val="false"/>
            <w:i w:val="false"/>
            <w:color w:val="000000"/>
            <w:sz w:val="22"/>
          </w:rPr>
          <w:t>102.208(4)</w:t>
        </w:r>
      </w:hyperlink>
      <w:r>
        <w:rPr>
          <w:rFonts w:ascii="Times New Roman" w:hAnsi="Times New Roman"/>
          <w:b w:val="false"/>
          <w:i w:val="false"/>
          <w:color w:val="000000"/>
          <w:sz w:val="22"/>
        </w:rPr>
        <w:t>. PCS may be stored for up to seven days during landfarm season.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102.208(5)</w:t>
      </w:r>
      <w:r>
        <w:rPr>
          <w:rFonts w:ascii="Times New Roman" w:hAnsi="Times New Roman"/>
          <w:b w:val="false"/>
          <w:i w:val="false"/>
          <w:color w:val="000000"/>
          <w:sz w:val="22"/>
        </w:rPr>
        <w:t> </w:t>
      </w:r>
      <w:r>
        <w:rPr>
          <w:rFonts w:ascii="Times New Roman" w:hAnsi="Times New Roman"/>
          <w:b w:val="false"/>
          <w:i/>
          <w:color w:val="000000"/>
          <w:sz w:val="22"/>
        </w:rPr>
        <w:t xml:space="preserve">Non-landfarm season.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PCS shall only be applied to the land during non-landfarm season if the PCS must be applied to the land as part of an emergency cleanup supervised by the department pursuant to </w:t>
      </w:r>
      <w:hyperlink r:id="rId6">
        <w:r>
          <w:rPr>
            <w:rStyle w:val="Hyperlink"/>
            <w:rFonts w:ascii="Times New Roman" w:hAnsi="Times New Roman"/>
            <w:b w:val="false"/>
            <w:i w:val="false"/>
            <w:color w:val="000000"/>
            <w:sz w:val="22"/>
          </w:rPr>
          <w:t>102.205(4)</w:t>
        </w:r>
      </w:hyperlink>
      <w:r>
        <w:rPr>
          <w:rFonts w:ascii="Times New Roman" w:hAnsi="Times New Roman"/>
          <w:b w:val="false"/>
          <w:i w:val="false"/>
          <w:color w:val="000000"/>
          <w:sz w:val="22"/>
        </w:rPr>
        <w:t xml:space="preserve"> or all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landfarm plot is free of snow.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slope of the landfarm plot is less than 3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PCS is incorporated into the soil as soon as site conditions allow.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no precipitation.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102.208(6)</w:t>
      </w:r>
      <w:r>
        <w:rPr>
          <w:rFonts w:ascii="Times New Roman" w:hAnsi="Times New Roman"/>
          <w:b w:val="false"/>
          <w:i w:val="false"/>
          <w:color w:val="000000"/>
          <w:sz w:val="22"/>
        </w:rPr>
        <w:t> </w:t>
      </w:r>
      <w:r>
        <w:rPr>
          <w:rFonts w:ascii="Times New Roman" w:hAnsi="Times New Roman"/>
          <w:b w:val="false"/>
          <w:i/>
          <w:color w:val="000000"/>
          <w:sz w:val="22"/>
        </w:rPr>
        <w:t xml:space="preserve">PCS plot requirements. </w:t>
      </w:r>
      <w:r>
        <w:rPr>
          <w:rFonts w:ascii="Times New Roman" w:hAnsi="Times New Roman"/>
          <w:b w:val="false"/>
          <w:i w:val="false"/>
          <w:color w:val="000000"/>
          <w:sz w:val="22"/>
        </w:rPr>
        <w:t>One application of a particular source and type of PCS may be applied to a landfarm plot. A landfarm may only apply a subsequent application of PCS to a previously utilized landfarm plot if such application is in compliance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plot has been tested pursuant to </w:t>
      </w:r>
      <w:hyperlink r:id="rId7">
        <w:r>
          <w:rPr>
            <w:rStyle w:val="Hyperlink"/>
            <w:rFonts w:ascii="Times New Roman" w:hAnsi="Times New Roman"/>
            <w:b w:val="false"/>
            <w:i w:val="false"/>
            <w:color w:val="000000"/>
            <w:sz w:val="22"/>
          </w:rPr>
          <w:t>102.205(2)</w:t>
        </w:r>
      </w:hyperlink>
      <w:r>
        <w:rPr>
          <w:rFonts w:ascii="Times New Roman" w:hAnsi="Times New Roman"/>
          <w:b w:val="false"/>
          <w:i/>
          <w:color w:val="000000"/>
          <w:sz w:val="22"/>
        </w:rPr>
        <w:t>“c”</w:t>
      </w:r>
      <w:r>
        <w:rPr>
          <w:rFonts w:ascii="Times New Roman" w:hAnsi="Times New Roman"/>
          <w:b w:val="false"/>
          <w:i w:val="false"/>
          <w:color w:val="000000"/>
          <w:sz w:val="22"/>
        </w:rPr>
        <w:t xml:space="preserve">(1), </w:t>
      </w:r>
      <w:r>
        <w:rPr>
          <w:rFonts w:ascii="Times New Roman" w:hAnsi="Times New Roman"/>
          <w:b w:val="false"/>
          <w:i/>
          <w:color w:val="000000"/>
          <w:sz w:val="22"/>
        </w:rPr>
        <w:t>“c”</w:t>
      </w:r>
      <w:r>
        <w:rPr>
          <w:rFonts w:ascii="Times New Roman" w:hAnsi="Times New Roman"/>
          <w:b w:val="false"/>
          <w:i w:val="false"/>
          <w:color w:val="000000"/>
          <w:sz w:val="22"/>
        </w:rPr>
        <w:t xml:space="preserve">(2), and </w:t>
      </w:r>
      <w:r>
        <w:rPr>
          <w:rFonts w:ascii="Times New Roman" w:hAnsi="Times New Roman"/>
          <w:b w:val="false"/>
          <w:i/>
          <w:color w:val="000000"/>
          <w:sz w:val="22"/>
        </w:rPr>
        <w:t>“c”</w:t>
      </w:r>
      <w:r>
        <w:rPr>
          <w:rFonts w:ascii="Times New Roman" w:hAnsi="Times New Roman"/>
          <w:b w:val="false"/>
          <w:i w:val="false"/>
          <w:color w:val="000000"/>
          <w:sz w:val="22"/>
        </w:rPr>
        <w:t>(3), and the results demonstrate that petroleum constituent concentrations are less than 0.54 mg/kg for benzene, 42 mg/kg for toluene, 15 mg/kg for ethylbenzene, 3800 mg/kg for TEH-diesel, and 0.02 mg/kg for MTBE.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subsequent application of a particular source and type of PCS may not be applied within 15 feet of an area used as a single-use landfarm until the single-use landfarm is closed pursuant to </w:t>
      </w:r>
      <w:hyperlink r:id="rId8">
        <w:r>
          <w:rPr>
            <w:rStyle w:val="Hyperlink"/>
            <w:rFonts w:ascii="Times New Roman" w:hAnsi="Times New Roman"/>
            <w:b w:val="false"/>
            <w:i w:val="false"/>
            <w:color w:val="000000"/>
            <w:sz w:val="22"/>
          </w:rPr>
          <w:t>102.211(2)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102.208(7)</w:t>
      </w:r>
      <w:r>
        <w:rPr>
          <w:rFonts w:ascii="Times New Roman" w:hAnsi="Times New Roman"/>
          <w:b w:val="false"/>
          <w:i w:val="false"/>
          <w:color w:val="000000"/>
          <w:sz w:val="22"/>
        </w:rPr>
        <w:t> </w:t>
      </w:r>
      <w:r>
        <w:rPr>
          <w:rFonts w:ascii="Times New Roman" w:hAnsi="Times New Roman"/>
          <w:b w:val="false"/>
          <w:i/>
          <w:color w:val="000000"/>
          <w:sz w:val="22"/>
        </w:rPr>
        <w:t xml:space="preserve">PCS application rates. </w:t>
      </w:r>
      <w:r>
        <w:rPr>
          <w:rFonts w:ascii="Times New Roman" w:hAnsi="Times New Roman"/>
          <w:b w:val="false"/>
          <w:i w:val="false"/>
          <w:color w:val="000000"/>
          <w:sz w:val="22"/>
        </w:rPr>
        <w:t xml:space="preserve">PCS shall be land applied at a rate that is as uniform as practical over an area sufficient to satisfy the greater of the following area requirements. However, PCS from an emergency cleanup supervised by the department pursuant to </w:t>
      </w:r>
      <w:hyperlink r:id="rId9">
        <w:r>
          <w:rPr>
            <w:rStyle w:val="Hyperlink"/>
            <w:rFonts w:ascii="Times New Roman" w:hAnsi="Times New Roman"/>
            <w:b w:val="false"/>
            <w:i w:val="false"/>
            <w:color w:val="000000"/>
            <w:sz w:val="22"/>
          </w:rPr>
          <w:t>102.205(4)</w:t>
        </w:r>
      </w:hyperlink>
      <w:r>
        <w:rPr>
          <w:rFonts w:ascii="Times New Roman" w:hAnsi="Times New Roman"/>
          <w:b w:val="false"/>
          <w:i w:val="false"/>
          <w:color w:val="000000"/>
          <w:sz w:val="22"/>
        </w:rPr>
        <w:t xml:space="preserve"> may instead be land applied at a rate of 162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landfarm area per cubic yard (yd</w:t>
      </w:r>
      <w:r>
        <w:rPr>
          <w:rFonts w:ascii="Times New Roman" w:hAnsi="Times New Roman"/>
          <w:b w:val="false"/>
          <w:i w:val="false"/>
          <w:color w:val="000000"/>
          <w:sz w:val="11"/>
          <w:vertAlign w:val="superscript"/>
        </w:rPr>
        <w:t>3</w:t>
      </w:r>
      <w:r>
        <w:rPr>
          <w:rFonts w:ascii="Times New Roman" w:hAnsi="Times New Roman"/>
          <w:b w:val="false"/>
          <w:i w:val="false"/>
          <w:color w:val="000000"/>
          <w:sz w:val="22"/>
        </w:rPr>
        <w:t>) of PCS, that is as uniform as practical, and in which no layer of unincorporated PCS is thicker than two inches.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Petroleum constituents. </w:t>
      </w:r>
      <w:r>
        <w:rPr>
          <w:rFonts w:ascii="Times New Roman" w:hAnsi="Times New Roman"/>
          <w:b w:val="false"/>
          <w:i w:val="false"/>
          <w:color w:val="000000"/>
          <w:sz w:val="22"/>
        </w:rPr>
        <w:t>PCS shall be land applied over the largest area required by the following:</w:t>
      </w:r>
    </w:p>
    <w:p>
      <w:pPr>
        <w:spacing w:before="0" w:after="0"/>
        <w:ind w:left="120"/>
        <w:jc w:val="both"/>
      </w:pP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PCS contaminated with benzene shall be land applied in accordance with Table 1. The average concentration of benzene in the PCS shall be used to determine the landfarm area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required per cubic yard (yd</w:t>
      </w:r>
      <w:r>
        <w:rPr>
          <w:rFonts w:ascii="Times New Roman" w:hAnsi="Times New Roman"/>
          <w:b w:val="false"/>
          <w:i w:val="false"/>
          <w:color w:val="000000"/>
          <w:sz w:val="11"/>
          <w:vertAlign w:val="superscript"/>
        </w:rPr>
        <w:t>3</w:t>
      </w:r>
      <w:r>
        <w:rPr>
          <w:rFonts w:ascii="Times New Roman" w:hAnsi="Times New Roman"/>
          <w:b w:val="false"/>
          <w:i w:val="false"/>
          <w:color w:val="000000"/>
          <w:sz w:val="22"/>
        </w:rPr>
        <w:t>) of PCS to be land applied. The average concentration of benzene shall be calculated from all soil boring test results that are within the PCS excavation area. The application shall be as uniform as practical over the area required.</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14"/>
        <w:gridCol w:w="2046"/>
        <w:gridCol w:w="2046"/>
        <w:gridCol w:w="2046"/>
      </w:tblGrid>
      <w:tr>
        <w:trPr>
          <w:trHeight w:val="195" w:hRule="atLeast"/>
        </w:trPr>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Table 1</w:t>
            </w:r>
          </w:p>
        </w:tc>
      </w:tr>
      <w:tr>
        <w:trPr>
          <w:trHeight w:val="270" w:hRule="atLeast"/>
        </w:trPr>
        <w:tc>
          <w:tcPr>
            <w:tcW w:w="28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0&lt; mg/kg ≤10</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81 ft</w:t>
            </w:r>
            <w:r>
              <w:rPr>
                <w:rFonts w:ascii="Times New Roman" w:hAnsi="Times New Roman"/>
                <w:b w:val="false"/>
                <w:i w:val="false"/>
                <w:color w:val="000000"/>
                <w:sz w:val="14"/>
                <w:vertAlign w:val="superscript"/>
              </w:rPr>
              <w:t>2</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 inches</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537 yd</w:t>
            </w:r>
            <w:r>
              <w:rPr>
                <w:rFonts w:ascii="Times New Roman" w:hAnsi="Times New Roman"/>
                <w:b w:val="false"/>
                <w:i w:val="false"/>
                <w:color w:val="000000"/>
                <w:sz w:val="14"/>
                <w:vertAlign w:val="superscript"/>
              </w:rPr>
              <w:t>3</w:t>
            </w:r>
          </w:p>
        </w:tc>
      </w:tr>
      <w:tr>
        <w:trPr>
          <w:trHeight w:val="270" w:hRule="atLeast"/>
        </w:trPr>
        <w:tc>
          <w:tcPr>
            <w:tcW w:w="28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10&lt; mg/kg ≤20</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162 ft</w:t>
            </w:r>
            <w:r>
              <w:rPr>
                <w:rFonts w:ascii="Times New Roman" w:hAnsi="Times New Roman"/>
                <w:b w:val="false"/>
                <w:i w:val="false"/>
                <w:color w:val="000000"/>
                <w:sz w:val="14"/>
                <w:vertAlign w:val="superscript"/>
              </w:rPr>
              <w:t>2</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 inches</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268 yd</w:t>
            </w:r>
            <w:r>
              <w:rPr>
                <w:rFonts w:ascii="Times New Roman" w:hAnsi="Times New Roman"/>
                <w:b w:val="false"/>
                <w:i w:val="false"/>
                <w:color w:val="000000"/>
                <w:sz w:val="14"/>
                <w:vertAlign w:val="superscript"/>
              </w:rPr>
              <w:t>3</w:t>
            </w:r>
          </w:p>
        </w:tc>
      </w:tr>
      <w:tr>
        <w:trPr>
          <w:trHeight w:val="270" w:hRule="atLeast"/>
        </w:trPr>
        <w:tc>
          <w:tcPr>
            <w:tcW w:w="28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20&lt; mg/kg</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324 ft</w:t>
            </w:r>
            <w:r>
              <w:rPr>
                <w:rFonts w:ascii="Times New Roman" w:hAnsi="Times New Roman"/>
                <w:b w:val="false"/>
                <w:i w:val="false"/>
                <w:color w:val="000000"/>
                <w:sz w:val="14"/>
                <w:vertAlign w:val="superscript"/>
              </w:rPr>
              <w:t>2</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inch</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134 yd</w:t>
            </w:r>
            <w:r>
              <w:rPr>
                <w:rFonts w:ascii="Times New Roman" w:hAnsi="Times New Roman"/>
                <w:b w:val="false"/>
                <w:i w:val="false"/>
                <w:color w:val="000000"/>
                <w:sz w:val="14"/>
                <w:vertAlign w:val="superscript"/>
              </w:rPr>
              <w:t>3</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PCS that is not contaminated with benzene or MTBE, but is contaminated with toluene, ethylbenzene, xylene, TEH-diesel, or some combination thereof, shall be land applied at a rate of 81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landfarm area per cubic yard (yd</w:t>
      </w:r>
      <w:r>
        <w:rPr>
          <w:rFonts w:ascii="Times New Roman" w:hAnsi="Times New Roman"/>
          <w:b w:val="false"/>
          <w:i w:val="false"/>
          <w:color w:val="000000"/>
          <w:sz w:val="11"/>
          <w:vertAlign w:val="superscript"/>
        </w:rPr>
        <w:t>3</w:t>
      </w:r>
      <w:r>
        <w:rPr>
          <w:rFonts w:ascii="Times New Roman" w:hAnsi="Times New Roman"/>
          <w:b w:val="false"/>
          <w:i w:val="false"/>
          <w:color w:val="000000"/>
          <w:sz w:val="22"/>
        </w:rPr>
        <w:t>) of PCS. The application shall be as uniform as practical, and no layer of unincorporated PCS shall be thicker than four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Total RCRA metals. </w:t>
      </w:r>
      <w:r>
        <w:rPr>
          <w:rFonts w:ascii="Times New Roman" w:hAnsi="Times New Roman"/>
          <w:b w:val="false"/>
          <w:i w:val="false"/>
          <w:color w:val="000000"/>
          <w:sz w:val="22"/>
        </w:rPr>
        <w:t xml:space="preserve">PCS that has been tested for heavy metals pursuant to </w:t>
      </w:r>
      <w:hyperlink r:id="rId10">
        <w:r>
          <w:rPr>
            <w:rStyle w:val="Hyperlink"/>
            <w:rFonts w:ascii="Times New Roman" w:hAnsi="Times New Roman"/>
            <w:b w:val="false"/>
            <w:i w:val="false"/>
            <w:color w:val="000000"/>
            <w:sz w:val="22"/>
          </w:rPr>
          <w:t>102.205(1)</w:t>
        </w:r>
      </w:hyperlink>
      <w:r>
        <w:rPr>
          <w:rFonts w:ascii="Times New Roman" w:hAnsi="Times New Roman"/>
          <w:b w:val="false"/>
          <w:i/>
          <w:color w:val="000000"/>
          <w:sz w:val="22"/>
        </w:rPr>
        <w:t>“c”</w:t>
      </w:r>
      <w:r>
        <w:rPr>
          <w:rFonts w:ascii="Times New Roman" w:hAnsi="Times New Roman"/>
          <w:b w:val="false"/>
          <w:i w:val="false"/>
          <w:color w:val="000000"/>
          <w:sz w:val="22"/>
        </w:rPr>
        <w:t>(3) shall be applied at a rate that is as uniform as practical, that results in no layer of PCS thicker than four inches, and that upon incorporation produces a landfarm soil that satisfies the following requirements. This analysis requires prior testing of background levels of RCRA metals at the proposed landfarm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RCRA metals are less than 2,500 milligrams per kilogram (mg/kg).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particular concentration of a RCRA metal is less than the appropriate statewide standard for soil developed pursuant to </w:t>
      </w:r>
      <w:hyperlink r:id="rId11">
        <w:r>
          <w:rPr>
            <w:rStyle w:val="Hyperlink"/>
            <w:rFonts w:ascii="Times New Roman" w:hAnsi="Times New Roman"/>
            <w:b w:val="false"/>
            <w:i w:val="false"/>
            <w:color w:val="000000"/>
            <w:sz w:val="22"/>
          </w:rPr>
          <w:t>567—Chapter 105</w:t>
        </w:r>
      </w:hyperlink>
      <w:r>
        <w:rPr>
          <w:rFonts w:ascii="Times New Roman" w:hAnsi="Times New Roman"/>
          <w:b w:val="false"/>
          <w:i w:val="false"/>
          <w:color w:val="000000"/>
          <w:sz w:val="22"/>
        </w:rPr>
        <w:t>, Division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102.208(8)</w:t>
      </w:r>
      <w:r>
        <w:rPr>
          <w:rFonts w:ascii="Times New Roman" w:hAnsi="Times New Roman"/>
          <w:b w:val="false"/>
          <w:i w:val="false"/>
          <w:color w:val="000000"/>
          <w:sz w:val="22"/>
        </w:rPr>
        <w:t> </w:t>
      </w:r>
      <w:r>
        <w:rPr>
          <w:rFonts w:ascii="Times New Roman" w:hAnsi="Times New Roman"/>
          <w:b w:val="false"/>
          <w:i/>
          <w:color w:val="000000"/>
          <w:sz w:val="22"/>
        </w:rPr>
        <w:t xml:space="preserve">Flagging. </w:t>
      </w:r>
      <w:r>
        <w:rPr>
          <w:rFonts w:ascii="Times New Roman" w:hAnsi="Times New Roman"/>
          <w:b w:val="false"/>
          <w:i w:val="false"/>
          <w:color w:val="000000"/>
          <w:sz w:val="22"/>
        </w:rPr>
        <w:t xml:space="preserve">The landfarm plot(s) upon which PCS is land applied shall be delineated with flags for one year after land application or until the landfarm is closed pursuant to </w:t>
      </w:r>
      <w:hyperlink r:id="rId12">
        <w:r>
          <w:rPr>
            <w:rStyle w:val="Hyperlink"/>
            <w:rFonts w:ascii="Times New Roman" w:hAnsi="Times New Roman"/>
            <w:b w:val="false"/>
            <w:i w:val="false"/>
            <w:color w:val="000000"/>
            <w:sz w:val="22"/>
          </w:rPr>
          <w:t>567—102.211</w:t>
        </w:r>
      </w:hyperlink>
      <w:r>
        <w:rPr>
          <w:rFonts w:ascii="Times New Roman" w:hAnsi="Times New Roman"/>
          <w:b w:val="false"/>
          <w:i w:val="false"/>
          <w:color w:val="000000"/>
          <w:sz w:val="22"/>
        </w:rPr>
        <w:t>(455B), whichever is shorter.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102.208(9)</w:t>
      </w:r>
      <w:r>
        <w:rPr>
          <w:rFonts w:ascii="Times New Roman" w:hAnsi="Times New Roman"/>
          <w:b w:val="false"/>
          <w:i w:val="false"/>
          <w:color w:val="000000"/>
          <w:sz w:val="22"/>
        </w:rPr>
        <w:t> </w:t>
      </w:r>
      <w:r>
        <w:rPr>
          <w:rFonts w:ascii="Times New Roman" w:hAnsi="Times New Roman"/>
          <w:b w:val="false"/>
          <w:i/>
          <w:color w:val="000000"/>
          <w:sz w:val="22"/>
        </w:rPr>
        <w:t xml:space="preserve">Removal of solid waste and rubble. </w:t>
      </w:r>
      <w:r>
        <w:rPr>
          <w:rFonts w:ascii="Times New Roman" w:hAnsi="Times New Roman"/>
          <w:b w:val="false"/>
          <w:i w:val="false"/>
          <w:color w:val="000000"/>
          <w:sz w:val="22"/>
        </w:rPr>
        <w:t>All solid waste that is not PCS shall be removed and properly disposed of prior to the landfarming of PCS. All rubble, stones, and debris larger than four inches in diameter, or that interfere with incorporating and turning the PCS, shall also be removed and properly disposed 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102.208(10)</w:t>
      </w:r>
      <w:r>
        <w:rPr>
          <w:rFonts w:ascii="Times New Roman" w:hAnsi="Times New Roman"/>
          <w:b w:val="false"/>
          <w:i w:val="false"/>
          <w:color w:val="000000"/>
          <w:sz w:val="22"/>
        </w:rPr>
        <w:t> </w:t>
      </w:r>
      <w:r>
        <w:rPr>
          <w:rFonts w:ascii="Times New Roman" w:hAnsi="Times New Roman"/>
          <w:b w:val="false"/>
          <w:i/>
          <w:color w:val="000000"/>
          <w:sz w:val="22"/>
        </w:rPr>
        <w:t xml:space="preserve">PCS incorporation. </w:t>
      </w:r>
      <w:r>
        <w:rPr>
          <w:rFonts w:ascii="Times New Roman" w:hAnsi="Times New Roman"/>
          <w:b w:val="false"/>
          <w:i w:val="false"/>
          <w:color w:val="000000"/>
          <w:sz w:val="22"/>
        </w:rPr>
        <w:t>PCS shall be incorporated into the soil by tilling, disking, or other suitable means within 48 hours of being land applied or before the next precipitation event, whichever is sooner. PCS shall not be incorporated deeper than 12 inches.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102.208(11)</w:t>
      </w:r>
      <w:r>
        <w:rPr>
          <w:rFonts w:ascii="Times New Roman" w:hAnsi="Times New Roman"/>
          <w:b w:val="false"/>
          <w:i w:val="false"/>
          <w:color w:val="000000"/>
          <w:sz w:val="22"/>
        </w:rPr>
        <w:t> </w:t>
      </w:r>
      <w:r>
        <w:rPr>
          <w:rFonts w:ascii="Times New Roman" w:hAnsi="Times New Roman"/>
          <w:b w:val="false"/>
          <w:i/>
          <w:color w:val="000000"/>
          <w:sz w:val="22"/>
        </w:rPr>
        <w:t xml:space="preserve">Turning the PCS. </w:t>
      </w:r>
      <w:r>
        <w:rPr>
          <w:rFonts w:ascii="Times New Roman" w:hAnsi="Times New Roman"/>
          <w:b w:val="false"/>
          <w:i w:val="false"/>
          <w:color w:val="000000"/>
          <w:sz w:val="22"/>
        </w:rPr>
        <w:t>After incorporation, the PCS shall be turned by tilling, disking, or other suitable means at least once per month for the first three months during landfarm season.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102.208(12)</w:t>
      </w:r>
      <w:r>
        <w:rPr>
          <w:rFonts w:ascii="Times New Roman" w:hAnsi="Times New Roman"/>
          <w:b w:val="false"/>
          <w:i w:val="false"/>
          <w:color w:val="000000"/>
          <w:sz w:val="22"/>
        </w:rPr>
        <w:t> </w:t>
      </w:r>
      <w:r>
        <w:rPr>
          <w:rFonts w:ascii="Times New Roman" w:hAnsi="Times New Roman"/>
          <w:b w:val="false"/>
          <w:i/>
          <w:color w:val="000000"/>
          <w:sz w:val="22"/>
        </w:rPr>
        <w:t xml:space="preserve">No crops for consumption. </w:t>
      </w:r>
      <w:r>
        <w:rPr>
          <w:rFonts w:ascii="Times New Roman" w:hAnsi="Times New Roman"/>
          <w:b w:val="false"/>
          <w:i w:val="false"/>
          <w:color w:val="000000"/>
          <w:sz w:val="22"/>
        </w:rPr>
        <w:t xml:space="preserve">Landfarms shall not grow crops within 15 feet of a landfarm plot that is flagged pursuant to </w:t>
      </w:r>
      <w:hyperlink r:id="rId13">
        <w:r>
          <w:rPr>
            <w:rStyle w:val="Hyperlink"/>
            <w:rFonts w:ascii="Times New Roman" w:hAnsi="Times New Roman"/>
            <w:b w:val="false"/>
            <w:i w:val="false"/>
            <w:color w:val="000000"/>
            <w:sz w:val="22"/>
          </w:rPr>
          <w:t>102.208(7)</w:t>
        </w:r>
      </w:hyperlink>
      <w:r>
        <w:rPr>
          <w:rFonts w:ascii="Times New Roman" w:hAnsi="Times New Roman"/>
          <w:b w:val="false"/>
          <w:i w:val="false"/>
          <w:color w:val="000000"/>
          <w:sz w:val="22"/>
        </w:rPr>
        <w:t xml:space="preserve">. Crops for human and livestock consumption may be grown at a single-use landfarm after the landfarm plot is no longer required to be flagged pursuant to </w:t>
      </w:r>
      <w:hyperlink r:id="rId14">
        <w:r>
          <w:rPr>
            <w:rStyle w:val="Hyperlink"/>
            <w:rFonts w:ascii="Times New Roman" w:hAnsi="Times New Roman"/>
            <w:b w:val="false"/>
            <w:i w:val="false"/>
            <w:color w:val="000000"/>
            <w:sz w:val="22"/>
          </w:rPr>
          <w:t>102.208(7)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102.208(13)</w:t>
      </w:r>
      <w:r>
        <w:rPr>
          <w:rFonts w:ascii="Times New Roman" w:hAnsi="Times New Roman"/>
          <w:b w:val="false"/>
          <w:i w:val="false"/>
          <w:color w:val="000000"/>
          <w:sz w:val="22"/>
        </w:rPr>
        <w:t> </w:t>
      </w:r>
      <w:r>
        <w:rPr>
          <w:rFonts w:ascii="Times New Roman" w:hAnsi="Times New Roman"/>
          <w:b w:val="false"/>
          <w:i/>
          <w:color w:val="000000"/>
          <w:sz w:val="22"/>
        </w:rPr>
        <w:t xml:space="preserve">Removal of PCS from a landfarm. </w:t>
      </w:r>
      <w:r>
        <w:rPr>
          <w:rFonts w:ascii="Times New Roman" w:hAnsi="Times New Roman"/>
          <w:b w:val="false"/>
          <w:i w:val="false"/>
          <w:color w:val="000000"/>
          <w:sz w:val="22"/>
        </w:rPr>
        <w:t xml:space="preserve">PCS shall not be removed from a landfarm until the landfarm is closed pursuant to </w:t>
      </w:r>
      <w:hyperlink r:id="rId15">
        <w:r>
          <w:rPr>
            <w:rStyle w:val="Hyperlink"/>
            <w:rFonts w:ascii="Times New Roman" w:hAnsi="Times New Roman"/>
            <w:b w:val="false"/>
            <w:i w:val="false"/>
            <w:color w:val="000000"/>
            <w:sz w:val="22"/>
          </w:rPr>
          <w:t>567—102.211</w:t>
        </w:r>
      </w:hyperlink>
      <w:r>
        <w:rPr>
          <w:rFonts w:ascii="Times New Roman" w:hAnsi="Times New Roman"/>
          <w:b w:val="false"/>
          <w:i w:val="false"/>
          <w:color w:val="000000"/>
          <w:sz w:val="22"/>
        </w:rPr>
        <w:t>(455B) or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sample from each 2,500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(e.g., 50-foot × 50-foot area) of landfarm plot is analyzed pursuant to </w:t>
      </w:r>
      <w:hyperlink r:id="rId16">
        <w:r>
          <w:rPr>
            <w:rStyle w:val="Hyperlink"/>
            <w:rFonts w:ascii="Times New Roman" w:hAnsi="Times New Roman"/>
            <w:b w:val="false"/>
            <w:i w:val="false"/>
            <w:color w:val="000000"/>
            <w:sz w:val="22"/>
          </w:rPr>
          <w:t>102.205(2)</w:t>
        </w:r>
      </w:hyperlink>
      <w:r>
        <w:rPr>
          <w:rFonts w:ascii="Times New Roman" w:hAnsi="Times New Roman"/>
          <w:b w:val="false"/>
          <w:i/>
          <w:color w:val="000000"/>
          <w:sz w:val="22"/>
        </w:rPr>
        <w:t>“c”</w:t>
      </w:r>
      <w:r>
        <w:rPr>
          <w:rFonts w:ascii="Times New Roman" w:hAnsi="Times New Roman"/>
          <w:b w:val="false"/>
          <w:i w:val="false"/>
          <w:color w:val="000000"/>
          <w:sz w:val="22"/>
        </w:rPr>
        <w:t xml:space="preserve">(1), </w:t>
      </w:r>
      <w:r>
        <w:rPr>
          <w:rFonts w:ascii="Times New Roman" w:hAnsi="Times New Roman"/>
          <w:b w:val="false"/>
          <w:i/>
          <w:color w:val="000000"/>
          <w:sz w:val="22"/>
        </w:rPr>
        <w:t>“c”</w:t>
      </w:r>
      <w:r>
        <w:rPr>
          <w:rFonts w:ascii="Times New Roman" w:hAnsi="Times New Roman"/>
          <w:b w:val="false"/>
          <w:i w:val="false"/>
          <w:color w:val="000000"/>
          <w:sz w:val="22"/>
        </w:rPr>
        <w:t xml:space="preserve">(2), and </w:t>
      </w:r>
      <w:r>
        <w:rPr>
          <w:rFonts w:ascii="Times New Roman" w:hAnsi="Times New Roman"/>
          <w:b w:val="false"/>
          <w:i/>
          <w:color w:val="000000"/>
          <w:sz w:val="22"/>
        </w:rPr>
        <w:t>“c”</w:t>
      </w:r>
      <w:r>
        <w:rPr>
          <w:rFonts w:ascii="Times New Roman" w:hAnsi="Times New Roman"/>
          <w:b w:val="false"/>
          <w:i w:val="false"/>
          <w:color w:val="000000"/>
          <w:sz w:val="22"/>
        </w:rPr>
        <w:t>(3). A minimum of one sample per landfarm plot shall be obtained. All samples shall be obtained from between the top two to six inches of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the tests in </w:t>
      </w:r>
      <w:hyperlink r:id="rId17">
        <w:r>
          <w:rPr>
            <w:rStyle w:val="Hyperlink"/>
            <w:rFonts w:ascii="Times New Roman" w:hAnsi="Times New Roman"/>
            <w:b w:val="false"/>
            <w:i w:val="false"/>
            <w:color w:val="000000"/>
            <w:sz w:val="22"/>
          </w:rPr>
          <w:t>102.211(2)</w:t>
        </w:r>
      </w:hyperlink>
      <w:r>
        <w:rPr>
          <w:rFonts w:ascii="Times New Roman" w:hAnsi="Times New Roman"/>
          <w:b w:val="false"/>
          <w:i/>
          <w:color w:val="000000"/>
          <w:sz w:val="22"/>
        </w:rPr>
        <w:t>“a”</w:t>
      </w:r>
      <w:r>
        <w:rPr>
          <w:rFonts w:ascii="Times New Roman" w:hAnsi="Times New Roman"/>
          <w:b w:val="false"/>
          <w:i w:val="false"/>
          <w:color w:val="000000"/>
          <w:sz w:val="22"/>
        </w:rPr>
        <w:t xml:space="preserve"> demonstrate that petroleum constituent concentrations for benzene, toluene, ethylbenzene, TEH-diesel, and MTBE are below the detection limits required by </w:t>
      </w:r>
      <w:hyperlink r:id="rId18">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of the lab results, amount of PCS removed, and the exact final location of the PCS shall be maintained by the landfarm.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0.5.pdf" Type="http://schemas.openxmlformats.org/officeDocument/2006/relationships/hyperlink" Id="rId4"/>
    <Relationship TargetMode="External" Target="https://www.legis.iowa.gov/docs/iac/rule/567.102.208.pdf" Type="http://schemas.openxmlformats.org/officeDocument/2006/relationships/hyperlink" Id="rId5"/>
    <Relationship TargetMode="External" Target="https://www.legis.iowa.gov/docs/iac/rule/567.102.205.pdf" Type="http://schemas.openxmlformats.org/officeDocument/2006/relationships/hyperlink" Id="rId6"/>
    <Relationship TargetMode="External" Target="https://www.legis.iowa.gov/docs/iac/rule/567.102.205.pdf" Type="http://schemas.openxmlformats.org/officeDocument/2006/relationships/hyperlink" Id="rId7"/>
    <Relationship TargetMode="External" Target="https://www.legis.iowa.gov/docs/iac/rule/567.102.211.pdf" Type="http://schemas.openxmlformats.org/officeDocument/2006/relationships/hyperlink" Id="rId8"/>
    <Relationship TargetMode="External" Target="https://www.legis.iowa.gov/docs/iac/rule/567.102.205.pdf" Type="http://schemas.openxmlformats.org/officeDocument/2006/relationships/hyperlink" Id="rId9"/>
    <Relationship TargetMode="External" Target="https://www.legis.iowa.gov/docs/iac/rule/567.102.205.pdf" Type="http://schemas.openxmlformats.org/officeDocument/2006/relationships/hyperlink" Id="rId10"/>
    <Relationship TargetMode="External" Target="https://www.legis.iowa.gov/docs/iac/chapter/567.105.pdf" Type="http://schemas.openxmlformats.org/officeDocument/2006/relationships/hyperlink" Id="rId11"/>
    <Relationship TargetMode="External" Target="https://www.legis.iowa.gov/docs/iac/rule/567.102.211.pdf" Type="http://schemas.openxmlformats.org/officeDocument/2006/relationships/hyperlink" Id="rId12"/>
    <Relationship TargetMode="External" Target="https://www.legis.iowa.gov/docs/iac/rule/567.102.208.pdf" Type="http://schemas.openxmlformats.org/officeDocument/2006/relationships/hyperlink" Id="rId13"/>
    <Relationship TargetMode="External" Target="https://www.legis.iowa.gov/docs/iac/rule/567.102.208.pdf" Type="http://schemas.openxmlformats.org/officeDocument/2006/relationships/hyperlink" Id="rId14"/>
    <Relationship TargetMode="External" Target="https://www.legis.iowa.gov/docs/iac/rule/567.102.211.pdf" Type="http://schemas.openxmlformats.org/officeDocument/2006/relationships/hyperlink" Id="rId15"/>
    <Relationship TargetMode="External" Target="https://www.legis.iowa.gov/docs/iac/rule/567.102.205.pdf" Type="http://schemas.openxmlformats.org/officeDocument/2006/relationships/hyperlink" Id="rId16"/>
    <Relationship TargetMode="External" Target="https://www.legis.iowa.gov/docs/iac/rule/567.102.211.pdf" Type="http://schemas.openxmlformats.org/officeDocument/2006/relationships/hyperlink" Id="rId17"/>
    <Relationship TargetMode="External" Target="https://www.legis.iowa.gov/docs/iac/chapter/567.135.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