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567—102.205</w:t>
      </w:r>
      <w:r>
        <w:rPr>
          <w:rFonts w:ascii="Times New Roman" w:hAnsi="Times New Roman"/>
          <w:b/>
          <w:i w:val="false"/>
          <w:color w:val="000000"/>
          <w:sz w:val="22"/>
        </w:rPr>
        <w:t xml:space="preserve">(455B) </w:t>
      </w:r>
      <w:r>
        <w:rPr>
          <w:rFonts w:ascii="Times New Roman" w:hAnsi="Times New Roman"/>
          <w:b/>
          <w:i w:val="false"/>
          <w:color w:val="000000"/>
          <w:sz w:val="22"/>
        </w:rPr>
        <w:t xml:space="preserve">PCS analysis and characterization.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102.205(1)</w:t>
      </w:r>
      <w:r>
        <w:rPr>
          <w:rFonts w:ascii="Times New Roman" w:hAnsi="Times New Roman"/>
          <w:b w:val="false"/>
          <w:i w:val="false"/>
          <w:color w:val="000000"/>
          <w:sz w:val="22"/>
        </w:rPr>
        <w:t> </w:t>
      </w:r>
      <w:r>
        <w:rPr>
          <w:rFonts w:ascii="Times New Roman" w:hAnsi="Times New Roman"/>
          <w:b w:val="false"/>
          <w:i/>
          <w:color w:val="000000"/>
          <w:sz w:val="22"/>
        </w:rPr>
        <w:t xml:space="preserve"> Source identification. </w:t>
      </w:r>
      <w:r>
        <w:rPr>
          <w:rFonts w:ascii="Times New Roman" w:hAnsi="Times New Roman"/>
          <w:b w:val="false"/>
          <w:i w:val="false"/>
          <w:color w:val="000000"/>
          <w:sz w:val="22"/>
        </w:rPr>
        <w:t>The name and address of the contaminated site from which the PCS originated and the spill or underground storage tank (UST) registration number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102.205(2)</w:t>
      </w:r>
      <w:r>
        <w:rPr>
          <w:rFonts w:ascii="Times New Roman" w:hAnsi="Times New Roman"/>
          <w:b w:val="false"/>
          <w:i w:val="false"/>
          <w:color w:val="000000"/>
          <w:sz w:val="22"/>
        </w:rPr>
        <w:t> </w:t>
      </w:r>
      <w:r>
        <w:rPr>
          <w:rFonts w:ascii="Times New Roman" w:hAnsi="Times New Roman"/>
          <w:b w:val="false"/>
          <w:i/>
          <w:color w:val="000000"/>
          <w:sz w:val="22"/>
        </w:rPr>
        <w:t xml:space="preserve">Type classification. </w:t>
      </w:r>
      <w:r>
        <w:rPr>
          <w:rFonts w:ascii="Times New Roman" w:hAnsi="Times New Roman"/>
          <w:b w:val="false"/>
          <w:i w:val="false"/>
          <w:color w:val="000000"/>
          <w:sz w:val="22"/>
        </w:rPr>
        <w:t>The PCS shall be classified by type according to the petroleum product’s trade name (e.g., gasoline, diesel fuel) or according to the trade names if there is a mixture of 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102.205(3)</w:t>
      </w:r>
      <w:r>
        <w:rPr>
          <w:rFonts w:ascii="Times New Roman" w:hAnsi="Times New Roman"/>
          <w:b w:val="false"/>
          <w:i w:val="false"/>
          <w:color w:val="000000"/>
          <w:sz w:val="22"/>
        </w:rPr>
        <w:t> </w:t>
      </w:r>
      <w:r>
        <w:rPr>
          <w:rFonts w:ascii="Times New Roman" w:hAnsi="Times New Roman"/>
          <w:b w:val="false"/>
          <w:i/>
          <w:color w:val="000000"/>
          <w:sz w:val="22"/>
        </w:rPr>
        <w:t xml:space="preserve">Chemical testing. </w:t>
      </w:r>
      <w:r>
        <w:rPr>
          <w:rFonts w:ascii="Times New Roman" w:hAnsi="Times New Roman"/>
          <w:b w:val="false"/>
          <w:i w:val="false"/>
          <w:color w:val="000000"/>
          <w:sz w:val="22"/>
        </w:rPr>
        <w:t>The following analyses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Benzene, toluene, ethylbenzene, and xylene (BTEX) testing. The PCS shall be tested for BTEX.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extractable hydrocarbons as diesel (TEH-diesel) testing. The PCS shall be tested for TEH-diesel.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metals testing. If the history of the petroleum-contaminated site is known to have included solvents, batteries, leaded fuel, waste oil, or a gas station in operation prior to 1985, then the PCS shall be tested for total Resource Conservation and Recovery Act (RCRA) metals.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102.205(4)</w:t>
      </w:r>
      <w:r>
        <w:rPr>
          <w:rFonts w:ascii="Times New Roman" w:hAnsi="Times New Roman"/>
          <w:b w:val="false"/>
          <w:i w:val="false"/>
          <w:color w:val="000000"/>
          <w:sz w:val="22"/>
        </w:rPr>
        <w:t> </w:t>
      </w:r>
      <w:r>
        <w:rPr>
          <w:rFonts w:ascii="Times New Roman" w:hAnsi="Times New Roman"/>
          <w:b w:val="false"/>
          <w:i/>
          <w:color w:val="000000"/>
          <w:sz w:val="22"/>
        </w:rPr>
        <w:t xml:space="preserve">Department-supervised emergency cleanups. </w:t>
      </w:r>
      <w:r>
        <w:rPr>
          <w:rFonts w:ascii="Times New Roman" w:hAnsi="Times New Roman"/>
          <w:b w:val="false"/>
          <w:i w:val="false"/>
          <w:color w:val="000000"/>
          <w:sz w:val="22"/>
        </w:rPr>
        <w:t xml:space="preserve">PCS originating from the cleanup of a spill or expedited over-excavation at a tank closure or upgrade under department jurisdiction shall be characterized and tested as follows before being landfarmed. Such PCS may be landfarmed prior to chemical testing, pursuant to the application rate in </w:t>
      </w:r>
      <w:hyperlink r:id="rId4">
        <w:r>
          <w:rPr>
            <w:rStyle w:val="Hyperlink"/>
            <w:rFonts w:ascii="Times New Roman" w:hAnsi="Times New Roman"/>
            <w:b w:val="false"/>
            <w:i w:val="false"/>
            <w:color w:val="000000"/>
            <w:sz w:val="22"/>
          </w:rPr>
          <w:t>102.208(7)</w:t>
        </w:r>
      </w:hyperlink>
      <w:r>
        <w:rPr>
          <w:rFonts w:ascii="Times New Roman" w:hAnsi="Times New Roman"/>
          <w:b w:val="false"/>
          <w:i w:val="false"/>
          <w:color w:val="000000"/>
          <w:sz w:val="22"/>
        </w:rPr>
        <w:t xml:space="preserve"> and reporting requirements of </w:t>
      </w:r>
      <w:hyperlink r:id="rId5">
        <w:r>
          <w:rPr>
            <w:rStyle w:val="Hyperlink"/>
            <w:rFonts w:ascii="Times New Roman" w:hAnsi="Times New Roman"/>
            <w:b w:val="false"/>
            <w:i w:val="false"/>
            <w:color w:val="000000"/>
            <w:sz w:val="22"/>
          </w:rPr>
          <w:t>567—102.210</w:t>
        </w:r>
      </w:hyperlink>
      <w:r>
        <w:rPr>
          <w:rFonts w:ascii="Times New Roman" w:hAnsi="Times New Roman"/>
          <w:b w:val="false"/>
          <w:i w:val="false"/>
          <w:color w:val="000000"/>
          <w:sz w:val="22"/>
        </w:rPr>
        <w:t>(455B), if permission is obtained from department emergency response personnel or the department field office with jurisdiction over the landfarm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102.205(5)</w:t>
      </w:r>
      <w:r>
        <w:rPr>
          <w:rFonts w:ascii="Times New Roman" w:hAnsi="Times New Roman"/>
          <w:b w:val="false"/>
          <w:i w:val="false"/>
          <w:color w:val="000000"/>
          <w:sz w:val="22"/>
        </w:rPr>
        <w:t> </w:t>
      </w:r>
      <w:r>
        <w:rPr>
          <w:rFonts w:ascii="Times New Roman" w:hAnsi="Times New Roman"/>
          <w:b w:val="false"/>
          <w:i/>
          <w:color w:val="000000"/>
          <w:sz w:val="22"/>
        </w:rPr>
        <w:t xml:space="preserve">Other cleanups. </w:t>
      </w:r>
      <w:r>
        <w:rPr>
          <w:rFonts w:ascii="Times New Roman" w:hAnsi="Times New Roman"/>
          <w:b w:val="false"/>
          <w:i w:val="false"/>
          <w:color w:val="000000"/>
          <w:sz w:val="22"/>
        </w:rPr>
        <w:t xml:space="preserve">PCS not originating from a department-supervised emergency cleanup pursuant to </w:t>
      </w:r>
      <w:hyperlink r:id="rId6">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xml:space="preserve"> shall be characterized and tested as follows before being landfarmed. PCS originating from a cleanup pursuant to </w:t>
      </w:r>
      <w:hyperlink r:id="rId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utilize those test results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102.205(6)</w:t>
      </w:r>
      <w:r>
        <w:rPr>
          <w:rFonts w:ascii="Times New Roman" w:hAnsi="Times New Roman"/>
          <w:b w:val="false"/>
          <w:i w:val="false"/>
          <w:color w:val="000000"/>
          <w:sz w:val="22"/>
        </w:rPr>
        <w:t> </w:t>
      </w:r>
      <w:r>
        <w:rPr>
          <w:rFonts w:ascii="Times New Roman" w:hAnsi="Times New Roman"/>
          <w:b w:val="false"/>
          <w:i/>
          <w:color w:val="000000"/>
          <w:sz w:val="22"/>
        </w:rPr>
        <w:t xml:space="preserve">Tar balls. </w:t>
      </w:r>
      <w:r>
        <w:rPr>
          <w:rFonts w:ascii="Times New Roman" w:hAnsi="Times New Roman"/>
          <w:b w:val="false"/>
          <w:i w:val="false"/>
          <w:color w:val="000000"/>
          <w:sz w:val="22"/>
        </w:rPr>
        <w:t>PCS that has the potential to produce tar balls shall not be landfarmed. Such PCS may be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102.205(7)</w:t>
      </w:r>
      <w:r>
        <w:rPr>
          <w:rFonts w:ascii="Times New Roman" w:hAnsi="Times New Roman"/>
          <w:b w:val="false"/>
          <w:i w:val="false"/>
          <w:color w:val="000000"/>
          <w:sz w:val="22"/>
        </w:rPr>
        <w:t> </w:t>
      </w:r>
      <w:r>
        <w:rPr>
          <w:rFonts w:ascii="Times New Roman" w:hAnsi="Times New Roman"/>
          <w:b w:val="false"/>
          <w:i/>
          <w:color w:val="000000"/>
          <w:sz w:val="22"/>
        </w:rPr>
        <w:t xml:space="preserve">Other tests. </w:t>
      </w:r>
      <w:r>
        <w:rPr>
          <w:rFonts w:ascii="Times New Roman" w:hAnsi="Times New Roman"/>
          <w:b w:val="false"/>
          <w:i w:val="false"/>
          <w:color w:val="000000"/>
          <w:sz w:val="22"/>
        </w:rPr>
        <w:t>The department may require testing of the PCS for other chemicals of concern.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208.pdf" Type="http://schemas.openxmlformats.org/officeDocument/2006/relationships/hyperlink" Id="rId4"/>
    <Relationship TargetMode="External" Target="https://www.legis.iowa.gov/docs/iac/rule/567.102.210.pdf" Type="http://schemas.openxmlformats.org/officeDocument/2006/relationships/hyperlink" Id="rId5"/>
    <Relationship TargetMode="External" Target="https://www.legis.iowa.gov/docs/iac/rule/567.102.205.pdf" Type="http://schemas.openxmlformats.org/officeDocument/2006/relationships/hyperlink" Id="rId6"/>
    <Relationship TargetMode="External" Target="https://www.legis.iowa.gov/docs/iac/chapter/567.13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