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102.201(1)</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landfarming of soils contaminated with biodegradable petroleum products including but not limited to gasoline, diesel fuel, kerosene, jet fuel, motor oil, hydraulic fluid, or some combination thereof. All PCS landfarming activities in which three or more cubic yards of PCS are excavated shall comply with this division. Uncontaminated soil that is excavated during the removal of the PCS shall not be counted toward the three-cubic-yard applicability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102.201(2)</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PCS that is being disposed of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102.201(3)</w:t>
      </w:r>
      <w:r>
        <w:rPr>
          <w:rFonts w:ascii="Times New Roman" w:hAnsi="Times New Roman"/>
          <w:b w:val="false"/>
          <w:i w:val="false"/>
          <w:color w:val="000000"/>
          <w:sz w:val="22"/>
        </w:rPr>
        <w:t> </w:t>
      </w:r>
      <w:r>
        <w:rPr>
          <w:rFonts w:ascii="Times New Roman" w:hAnsi="Times New Roman"/>
          <w:b w:val="false"/>
          <w:i w:val="false"/>
          <w:color w:val="000000"/>
          <w:sz w:val="22"/>
        </w:rPr>
        <w:t>The issuance of a landfarm permit by the department in no way relieves the generator or permit holder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102.201(4)</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