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567—102.108</w:t>
      </w:r>
      <w:r>
        <w:rPr>
          <w:rFonts w:ascii="Times New Roman" w:hAnsi="Times New Roman"/>
          <w:b/>
          <w:i w:val="false"/>
          <w:color w:val="000000"/>
          <w:sz w:val="22"/>
        </w:rPr>
        <w:t xml:space="preserve">(455B) </w:t>
      </w:r>
      <w:r>
        <w:rPr>
          <w:rFonts w:ascii="Times New Roman" w:hAnsi="Times New Roman"/>
          <w:b/>
          <w:i w:val="false"/>
          <w:color w:val="000000"/>
          <w:sz w:val="22"/>
        </w:rPr>
        <w:t xml:space="preserve">Financial assurance. </w:t>
      </w:r>
      <w:r>
        <w:rPr>
          <w:rFonts w:ascii="Times New Roman" w:hAnsi="Times New Roman"/>
          <w:b w:val="false"/>
          <w:i w:val="false"/>
          <w:color w:val="000000"/>
          <w:sz w:val="22"/>
        </w:rPr>
        <w:t>The holder of a solid waste management permit for the land application of wastes that has received authorization to temporarily store waste at the application site(s) or a consolidation point must obtain and submit a financial assurance instrument to the department. The financial assurance instrument shall provide monetary funds for the purpose of properly disposing of or having a third-party land apply any stored wastes due to the permit holder’s failure to properly land apply wastes in accordance with this division and the applicable permit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102.108(1)</w:t>
      </w:r>
      <w:r>
        <w:rPr>
          <w:rFonts w:ascii="Times New Roman" w:hAnsi="Times New Roman"/>
          <w:b w:val="false"/>
          <w:i w:val="false"/>
          <w:color w:val="000000"/>
          <w:sz w:val="22"/>
        </w:rPr>
        <w:t> </w:t>
      </w:r>
      <w:r>
        <w:rPr>
          <w:rFonts w:ascii="Times New Roman" w:hAnsi="Times New Roman"/>
          <w:b w:val="false"/>
          <w:i/>
          <w:color w:val="000000"/>
          <w:sz w:val="22"/>
        </w:rPr>
        <w:t xml:space="preserve">Proof of compliance. </w:t>
      </w:r>
      <w:r>
        <w:rPr>
          <w:rFonts w:ascii="Times New Roman" w:hAnsi="Times New Roman"/>
          <w:b w:val="false"/>
          <w:i w:val="false"/>
          <w:color w:val="000000"/>
          <w:sz w:val="22"/>
        </w:rPr>
        <w:t>Proof of the establishment of the financial assurance instrument and compliance with this rule, including a current closure cost estimate, shall be submitted by at the time of application for a permit to land apply solid wastes. The owner or operator must provide continuous coverage for closure and submit proof of compliance, including an updated closure cost estimate, with each permit renewal thereafter until released from this requirement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102.108(2)</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amounts required. </w:t>
      </w:r>
      <w:r>
        <w:rPr>
          <w:rFonts w:ascii="Times New Roman" w:hAnsi="Times New Roman"/>
          <w:b w:val="false"/>
          <w:i w:val="false"/>
          <w:color w:val="000000"/>
          <w:sz w:val="22"/>
        </w:rPr>
        <w:t>The estimate submitted to the department must be certified by a professional engineer and account for at least the following factors determined by the department to be minimal necessary costs for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Third-party labor and transportation costs and total tip fees to properly dispose of all solid wastes equal to the maximum storage capacity of all approved storage areas,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Third-party labor costs to land apply all solid wastes equal to the maximum storage capacity of all approved storage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102.108(3)</w:t>
      </w:r>
      <w:r>
        <w:rPr>
          <w:rFonts w:ascii="Times New Roman" w:hAnsi="Times New Roman"/>
          <w:b w:val="false"/>
          <w:i w:val="false"/>
          <w:color w:val="000000"/>
          <w:sz w:val="22"/>
        </w:rPr>
        <w:t> </w:t>
      </w:r>
      <w:r>
        <w:rPr>
          <w:rFonts w:ascii="Times New Roman" w:hAnsi="Times New Roman"/>
          <w:b w:val="false"/>
          <w:i/>
          <w:color w:val="000000"/>
          <w:sz w:val="22"/>
        </w:rPr>
        <w:t xml:space="preserve">Acceptable financial assurance instruments. </w:t>
      </w:r>
      <w:r>
        <w:rPr>
          <w:rFonts w:ascii="Times New Roman" w:hAnsi="Times New Roman"/>
          <w:b w:val="false"/>
          <w:i w:val="false"/>
          <w:color w:val="000000"/>
          <w:sz w:val="22"/>
        </w:rPr>
        <w:t xml:space="preserve">The financial assurance instrument shall be established in an amount equal to the cost estimate prepared in accordance with </w:t>
      </w:r>
      <w:hyperlink r:id="rId4">
        <w:r>
          <w:rPr>
            <w:rStyle w:val="Hyperlink"/>
            <w:rFonts w:ascii="Times New Roman" w:hAnsi="Times New Roman"/>
            <w:b w:val="false"/>
            <w:i w:val="false"/>
            <w:color w:val="000000"/>
            <w:sz w:val="22"/>
          </w:rPr>
          <w:t>102.10(4)</w:t>
        </w:r>
      </w:hyperlink>
      <w:r>
        <w:rPr>
          <w:rFonts w:ascii="Times New Roman" w:hAnsi="Times New Roman"/>
          <w:b w:val="false"/>
          <w:i w:val="false"/>
          <w:color w:val="000000"/>
          <w:sz w:val="22"/>
        </w:rPr>
        <w:t xml:space="preserve"> and shall not be canceled, revoked, disbursed, released, or allowed to terminate without the approval of the department. The language of the financial assurance instrument shall meet the criteria in </w:t>
      </w:r>
      <w:hyperlink r:id="rId5">
        <w:r>
          <w:rPr>
            <w:rStyle w:val="Hyperlink"/>
            <w:rFonts w:ascii="Times New Roman" w:hAnsi="Times New Roman"/>
            <w:b w:val="false"/>
            <w:i w:val="false"/>
            <w:color w:val="000000"/>
            <w:sz w:val="22"/>
          </w:rPr>
          <w:t>567—subrule 101.708(3)</w:t>
        </w:r>
      </w:hyperlink>
      <w:r>
        <w:rPr>
          <w:rFonts w:ascii="Times New Roman" w:hAnsi="Times New Roman"/>
          <w:b w:val="false"/>
          <w:i w:val="false"/>
          <w:color w:val="000000"/>
          <w:sz w:val="22"/>
        </w:rPr>
        <w:t>. Financial assurance shall be provided by one of the following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Trust fund pursuant to </w:t>
      </w:r>
      <w:hyperlink r:id="rId6">
        <w:r>
          <w:rPr>
            <w:rStyle w:val="Hyperlink"/>
            <w:rFonts w:ascii="Times New Roman" w:hAnsi="Times New Roman"/>
            <w:b w:val="false"/>
            <w:i w:val="false"/>
            <w:color w:val="000000"/>
            <w:sz w:val="22"/>
          </w:rPr>
          <w:t>567—subrule 101.707(1)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Surety bond pursuant to </w:t>
      </w:r>
      <w:hyperlink r:id="rId7">
        <w:r>
          <w:rPr>
            <w:rStyle w:val="Hyperlink"/>
            <w:rFonts w:ascii="Times New Roman" w:hAnsi="Times New Roman"/>
            <w:b w:val="false"/>
            <w:i w:val="false"/>
            <w:color w:val="000000"/>
            <w:sz w:val="22"/>
          </w:rPr>
          <w:t>567—subrule 101.707(2)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Letter of credit pursuant to </w:t>
      </w:r>
      <w:hyperlink r:id="rId8">
        <w:r>
          <w:rPr>
            <w:rStyle w:val="Hyperlink"/>
            <w:rFonts w:ascii="Times New Roman" w:hAnsi="Times New Roman"/>
            <w:b w:val="false"/>
            <w:i w:val="false"/>
            <w:color w:val="000000"/>
            <w:sz w:val="22"/>
          </w:rPr>
          <w:t>567—subrule 101.707(3)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Corporate guarantee pursuant to </w:t>
      </w:r>
      <w:hyperlink r:id="rId9">
        <w:r>
          <w:rPr>
            <w:rStyle w:val="Hyperlink"/>
            <w:rFonts w:ascii="Times New Roman" w:hAnsi="Times New Roman"/>
            <w:b w:val="false"/>
            <w:i w:val="false"/>
            <w:color w:val="000000"/>
            <w:sz w:val="22"/>
          </w:rPr>
          <w:t>567—subrule 101.707(7)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2.10.pdf" Type="http://schemas.openxmlformats.org/officeDocument/2006/relationships/hyperlink" Id="rId4"/>
    <Relationship TargetMode="External" Target="https://www.legis.iowa.gov/docs/iac/rule/567.101.708.pdf" Type="http://schemas.openxmlformats.org/officeDocument/2006/relationships/hyperlink" Id="rId5"/>
    <Relationship TargetMode="External" Target="https://www.legis.iowa.gov/docs/iac/rule/567.101.707.pdf" Type="http://schemas.openxmlformats.org/officeDocument/2006/relationships/hyperlink" Id="rId6"/>
    <Relationship TargetMode="External" Target="https://www.legis.iowa.gov/docs/iac/rule/567.101.707.pdf" Type="http://schemas.openxmlformats.org/officeDocument/2006/relationships/hyperlink" Id="rId7"/>
    <Relationship TargetMode="External" Target="https://www.legis.iowa.gov/docs/iac/rule/567.101.707.pdf" Type="http://schemas.openxmlformats.org/officeDocument/2006/relationships/hyperlink" Id="rId8"/>
    <Relationship TargetMode="External" Target="https://www.legis.iowa.gov/docs/iac/rule/567.101.707.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