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567—102.107</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w:t>
      </w:r>
      <w:r>
        <w:rPr>
          <w:rFonts w:ascii="Times New Roman" w:hAnsi="Times New Roman"/>
          <w:b w:val="false"/>
          <w:i w:val="false"/>
          <w:color w:val="000000"/>
          <w:sz w:val="22"/>
        </w:rPr>
        <w:t xml:space="preserve">Prior to any land application of solid waste not exempted in </w:t>
      </w:r>
      <w:hyperlink r:id="rId4">
        <w:r>
          <w:rPr>
            <w:rStyle w:val="Hyperlink"/>
            <w:rFonts w:ascii="Times New Roman" w:hAnsi="Times New Roman"/>
            <w:b w:val="false"/>
            <w:i w:val="false"/>
            <w:color w:val="000000"/>
            <w:sz w:val="22"/>
          </w:rPr>
          <w:t>567—102.102</w:t>
        </w:r>
      </w:hyperlink>
      <w:r>
        <w:rPr>
          <w:rFonts w:ascii="Times New Roman" w:hAnsi="Times New Roman"/>
          <w:b w:val="false"/>
          <w:i w:val="false"/>
          <w:color w:val="000000"/>
          <w:sz w:val="22"/>
        </w:rPr>
        <w:t xml:space="preserve">(455B) or </w:t>
      </w:r>
      <w:hyperlink r:id="rId5">
        <w:r>
          <w:rPr>
            <w:rStyle w:val="Hyperlink"/>
            <w:rFonts w:ascii="Times New Roman" w:hAnsi="Times New Roman"/>
            <w:b w:val="false"/>
            <w:i w:val="false"/>
            <w:color w:val="000000"/>
            <w:sz w:val="22"/>
          </w:rPr>
          <w:t>567—102.106</w:t>
        </w:r>
      </w:hyperlink>
      <w:r>
        <w:rPr>
          <w:rFonts w:ascii="Times New Roman" w:hAnsi="Times New Roman"/>
          <w:b w:val="false"/>
          <w:i w:val="false"/>
          <w:color w:val="000000"/>
          <w:sz w:val="22"/>
        </w:rPr>
        <w:t xml:space="preserve">(455B), a solid waste management permit pursuant to </w:t>
      </w:r>
      <w:hyperlink r:id="rId6">
        <w:r>
          <w:rPr>
            <w:rStyle w:val="Hyperlink"/>
            <w:rFonts w:ascii="Times New Roman" w:hAnsi="Times New Roman"/>
            <w:b w:val="false"/>
            <w:i w:val="false"/>
            <w:color w:val="000000"/>
            <w:sz w:val="22"/>
          </w:rPr>
          <w:t>567—subrule 100.4(2)</w:t>
        </w:r>
      </w:hyperlink>
      <w:r>
        <w:rPr>
          <w:rFonts w:ascii="Times New Roman" w:hAnsi="Times New Roman"/>
          <w:b w:val="false"/>
          <w:i w:val="false"/>
          <w:color w:val="000000"/>
          <w:sz w:val="22"/>
        </w:rPr>
        <w:t xml:space="preserve"> must be obtained by the waste generator.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102.107(1)</w:t>
      </w:r>
      <w:r>
        <w:rPr>
          <w:rFonts w:ascii="Times New Roman" w:hAnsi="Times New Roman"/>
          <w:b w:val="false"/>
          <w:i w:val="false"/>
          <w:color w:val="000000"/>
          <w:sz w:val="22"/>
        </w:rPr>
        <w:t> </w:t>
      </w:r>
      <w:r>
        <w:rPr>
          <w:rFonts w:ascii="Times New Roman" w:hAnsi="Times New Roman"/>
          <w:b w:val="false"/>
          <w:i/>
          <w:color w:val="000000"/>
          <w:sz w:val="22"/>
        </w:rPr>
        <w:t xml:space="preserve">Permit application. </w:t>
      </w:r>
      <w:r>
        <w:rPr>
          <w:rFonts w:ascii="Times New Roman" w:hAnsi="Times New Roman"/>
          <w:b w:val="false"/>
          <w:i w:val="false"/>
          <w:color w:val="000000"/>
          <w:sz w:val="22"/>
        </w:rPr>
        <w:t xml:space="preserve">In lieu of the permit application requirements in </w:t>
      </w:r>
      <w:hyperlink r:id="rId7">
        <w:r>
          <w:rPr>
            <w:rStyle w:val="Hyperlink"/>
            <w:rFonts w:ascii="Times New Roman" w:hAnsi="Times New Roman"/>
            <w:b w:val="false"/>
            <w:i w:val="false"/>
            <w:color w:val="000000"/>
            <w:sz w:val="22"/>
          </w:rPr>
          <w:t>567—subrule 100.5(1)</w:t>
        </w:r>
      </w:hyperlink>
      <w:r>
        <w:rPr>
          <w:rFonts w:ascii="Times New Roman" w:hAnsi="Times New Roman"/>
          <w:b w:val="false"/>
          <w:i w:val="false"/>
          <w:color w:val="000000"/>
          <w:sz w:val="22"/>
        </w:rPr>
        <w:t>, all permit applications for land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permit applicant (generator of the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Agronomist affiliated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waste to be handled per day, week,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the source, quantity, and method of treatment of the waste prior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Chemical analyses showing compliance with </w:t>
      </w:r>
      <w:hyperlink r:id="rId8">
        <w:r>
          <w:rPr>
            <w:rStyle w:val="Hyperlink"/>
            <w:rFonts w:ascii="Times New Roman" w:hAnsi="Times New Roman"/>
            <w:b w:val="false"/>
            <w:i w:val="false"/>
            <w:color w:val="000000"/>
            <w:sz w:val="22"/>
          </w:rPr>
          <w:t>102.103(2)</w:t>
        </w:r>
      </w:hyperlink>
      <w:r>
        <w:rPr>
          <w:rFonts w:ascii="Times New Roman" w:hAnsi="Times New Roman"/>
          <w:b w:val="false"/>
          <w:i w:val="false"/>
          <w:color w:val="000000"/>
          <w:sz w:val="22"/>
        </w:rPr>
        <w:t xml:space="preserve"> and any additional analysis that the department may require to adequately define the waste. Chemical analysis shall be done by a laboratory certified pursuant to </w:t>
      </w:r>
      <w:hyperlink r:id="rId9">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detailed description of the land application process to be used, including the method and rate of application, and information indicating how the operational requirements of </w:t>
      </w:r>
      <w:hyperlink r:id="rId10">
        <w:r>
          <w:rPr>
            <w:rStyle w:val="Hyperlink"/>
            <w:rFonts w:ascii="Times New Roman" w:hAnsi="Times New Roman"/>
            <w:b w:val="false"/>
            <w:i w:val="false"/>
            <w:color w:val="000000"/>
            <w:sz w:val="22"/>
          </w:rPr>
          <w:t>567—102.105</w:t>
        </w:r>
      </w:hyperlink>
      <w:r>
        <w:rPr>
          <w:rFonts w:ascii="Times New Roman" w:hAnsi="Times New Roman"/>
          <w:b w:val="false"/>
          <w:i w:val="false"/>
          <w:color w:val="000000"/>
          <w:sz w:val="22"/>
        </w:rPr>
        <w:t>(455B) will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table of all application sites that includes the name of the site, legal description, county, acres eligible for land application, and the name of the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each land application site,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aerial photograph of sufficient scale to show all homes, buildings, lakes, ponds, watercourses, wetlands, dry runs, roads, and other applicable details.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or aerial photo showing all wells located within 500 feet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soil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Water table levels of the site, including the frequency and duration of any expected high-water table or flooding.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disposal of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102.107(2)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holder shall have a certified professional agronomist perform an annual inspection of all sites utilized in the previous year to ensure soil properties and constituents being applied are suitable and will not exceed agronomic rates for the crop that will be produced the following summer. The agronomist will review soil test results to ensure that the application of the waste will not cause buildup of nutrients in the soil. The results of this inspection shall be submitted to the department’s main office by April 1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holder shall submit an annual report summarizing the records required in </w:t>
      </w:r>
      <w:hyperlink r:id="rId11">
        <w:r>
          <w:rPr>
            <w:rStyle w:val="Hyperlink"/>
            <w:rFonts w:ascii="Times New Roman" w:hAnsi="Times New Roman"/>
            <w:b w:val="false"/>
            <w:i w:val="false"/>
            <w:color w:val="000000"/>
            <w:sz w:val="22"/>
          </w:rPr>
          <w:t>102.105(8)</w:t>
        </w:r>
        <w:r>
          <w:rPr>
            <w:rFonts w:ascii="Times New Roman" w:hAnsi="Times New Roman"/>
            <w:b w:val="false"/>
            <w:i/>
            <w:color w:val="000000"/>
            <w:sz w:val="22"/>
          </w:rPr>
          <w:t>“b”</w:t>
        </w:r>
      </w:hyperlink>
      <w:r>
        <w:rPr>
          <w:rFonts w:ascii="Times New Roman" w:hAnsi="Times New Roman"/>
          <w:b w:val="false"/>
          <w:i w:val="false"/>
          <w:color w:val="000000"/>
          <w:sz w:val="22"/>
        </w:rPr>
        <w:t xml:space="preserve"> to the department’s main office on a form provided by the department. The report will be for July through June and is due by October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Sampling and analyses of the permitted waste shall be performed and submitted to the department according to a schedule stipulated in the permit. At a minimum, an analysis shall be submitted with each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102.107(3)</w:t>
      </w: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permit may allow for storage of stabilized sludge and solid waste at application sites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stored within 200 feet of an occupied residence nor within 500 feet of a well that is part of a public water supply, as defined in 567—subrule </w:t>
      </w:r>
      <w:hyperlink r:id="rId12">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shall not be stored on soils classified as sand, loamy sand, or silt on the USDA textural classification chart shown in </w:t>
      </w:r>
      <w:hyperlink r:id="rId13">
        <w:r>
          <w:rPr>
            <w:rStyle w:val="Hyperlink"/>
            <w:rFonts w:ascii="Times New Roman" w:hAnsi="Times New Roman"/>
            <w:b w:val="false"/>
            <w:i w:val="false"/>
            <w:color w:val="000000"/>
            <w:sz w:val="22"/>
          </w:rPr>
          <w:t>102.104(6)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stored may not exceed the amount needed for the next application window for that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material stored must be land applied the next application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weather or extenuating circumstances prevent application from taking place, the applicant must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Runoff shall be controlled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w:t>
      </w:r>
      <w:hyperlink r:id="rId14">
        <w:r>
          <w:rPr>
            <w:rStyle w:val="Hyperlink"/>
            <w:rFonts w:ascii="Times New Roman" w:hAnsi="Times New Roman"/>
            <w:b w:val="false"/>
            <w:i w:val="false"/>
            <w:color w:val="000000"/>
            <w:sz w:val="22"/>
          </w:rPr>
          <w:t>567—102.108</w:t>
        </w:r>
      </w:hyperlink>
      <w:r>
        <w:rPr>
          <w:rFonts w:ascii="Times New Roman" w:hAnsi="Times New Roman"/>
          <w:b w:val="false"/>
          <w:i w:val="false"/>
          <w:color w:val="000000"/>
          <w:sz w:val="22"/>
        </w:rPr>
        <w:t>(455B) has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 may allow for storage of stabilized sludge and solid waste at a consolidation point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stored within 200 feet of an occupied residence nor within 500 feet of a well that is part of a public water supply, as defined in 567—subrule </w:t>
      </w:r>
      <w:hyperlink r:id="rId15">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storage surface shall be made of asphalt, concrete, compacted granular aggregate, clay, or similar relatively impermeable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material stored must be land applied the next application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weather or extenuating circumstances prevent application from taking place, the applicant must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Runoff from the waste shall be controlled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assurance in accordance with </w:t>
      </w:r>
      <w:hyperlink r:id="rId16">
        <w:r>
          <w:rPr>
            <w:rStyle w:val="Hyperlink"/>
            <w:rFonts w:ascii="Times New Roman" w:hAnsi="Times New Roman"/>
            <w:b w:val="false"/>
            <w:i w:val="false"/>
            <w:color w:val="000000"/>
            <w:sz w:val="22"/>
          </w:rPr>
          <w:t>567—102.108</w:t>
        </w:r>
      </w:hyperlink>
      <w:r>
        <w:rPr>
          <w:rFonts w:ascii="Times New Roman" w:hAnsi="Times New Roman"/>
          <w:b w:val="false"/>
          <w:i w:val="false"/>
          <w:color w:val="000000"/>
          <w:sz w:val="22"/>
        </w:rPr>
        <w:t>(455B) has been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2.102.pdf" Type="http://schemas.openxmlformats.org/officeDocument/2006/relationships/hyperlink" Id="rId4"/>
    <Relationship TargetMode="External" Target="https://www.legis.iowa.gov/docs/iac/rule/567.102.106.pdf" Type="http://schemas.openxmlformats.org/officeDocument/2006/relationships/hyperlink" Id="rId5"/>
    <Relationship TargetMode="External" Target="https://www.legis.iowa.gov/docs/iac/rule/567.100.4.pdf" Type="http://schemas.openxmlformats.org/officeDocument/2006/relationships/hyperlink" Id="rId6"/>
    <Relationship TargetMode="External" Target="https://www.legis.iowa.gov/docs/iac/rule/567.100.5.pdf" Type="http://schemas.openxmlformats.org/officeDocument/2006/relationships/hyperlink" Id="rId7"/>
    <Relationship TargetMode="External" Target="https://www.legis.iowa.gov/docs/iac/rule/567.102.103.pdf" Type="http://schemas.openxmlformats.org/officeDocument/2006/relationships/hyperlink" Id="rId8"/>
    <Relationship TargetMode="External" Target="https://www.legis.iowa.gov/docs/iac/chapter/567.83.pdf" Type="http://schemas.openxmlformats.org/officeDocument/2006/relationships/hyperlink" Id="rId9"/>
    <Relationship TargetMode="External" Target="https://www.legis.iowa.gov/docs/iac/rule/567.102.105.pdf" Type="http://schemas.openxmlformats.org/officeDocument/2006/relationships/hyperlink" Id="rId10"/>
    <Relationship TargetMode="External" Target="https://www.legis.iowa.gov/docs/iac/rule/567.102.105.pdf" Type="http://schemas.openxmlformats.org/officeDocument/2006/relationships/hyperlink" Id="rId11"/>
    <Relationship TargetMode="External" Target="https://www.legis.iowa.gov/docs/iac/rule/567.40.2.pdf" Type="http://schemas.openxmlformats.org/officeDocument/2006/relationships/hyperlink" Id="rId12"/>
    <Relationship TargetMode="External" Target="https://www.legis.iowa.gov/docs/iac/rule/567.102.104.pdf" Type="http://schemas.openxmlformats.org/officeDocument/2006/relationships/hyperlink" Id="rId13"/>
    <Relationship TargetMode="External" Target="https://www.legis.iowa.gov/docs/iac/rule/567.102.108.pdf" Type="http://schemas.openxmlformats.org/officeDocument/2006/relationships/hyperlink" Id="rId14"/>
    <Relationship TargetMode="External" Target="https://www.legis.iowa.gov/docs/iac/rule/567.40.2.pdf" Type="http://schemas.openxmlformats.org/officeDocument/2006/relationships/hyperlink" Id="rId15"/>
    <Relationship TargetMode="External" Target="https://www.legis.iowa.gov/docs/iac/rule/567.102.108.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