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567—102.106</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permit. </w:t>
      </w:r>
      <w:r>
        <w:rPr>
          <w:rFonts w:ascii="Times New Roman" w:hAnsi="Times New Roman"/>
          <w:b w:val="false"/>
          <w:i w:val="false"/>
          <w:color w:val="000000"/>
          <w:sz w:val="22"/>
        </w:rPr>
        <w:t xml:space="preserve">Land application of waste at a rate that does not exceed two dry tons per acre per year and that meets the requirements of </w:t>
      </w:r>
      <w:hyperlink r:id="rId4">
        <w:r>
          <w:rPr>
            <w:rStyle w:val="Hyperlink"/>
            <w:rFonts w:ascii="Times New Roman" w:hAnsi="Times New Roman"/>
            <w:b w:val="false"/>
            <w:i w:val="false"/>
            <w:color w:val="000000"/>
            <w:sz w:val="22"/>
          </w:rPr>
          <w:t>567—102.103</w:t>
        </w:r>
      </w:hyperlink>
      <w:r>
        <w:rPr>
          <w:rFonts w:ascii="Times New Roman" w:hAnsi="Times New Roman"/>
          <w:b w:val="false"/>
          <w:i w:val="false"/>
          <w:color w:val="000000"/>
          <w:sz w:val="22"/>
        </w:rPr>
        <w:t xml:space="preserve">(455B), </w:t>
      </w:r>
      <w:hyperlink r:id="rId5">
        <w:r>
          <w:rPr>
            <w:rStyle w:val="Hyperlink"/>
            <w:rFonts w:ascii="Times New Roman" w:hAnsi="Times New Roman"/>
            <w:b w:val="false"/>
            <w:i w:val="false"/>
            <w:color w:val="000000"/>
            <w:sz w:val="22"/>
          </w:rPr>
          <w:t>567—102.104</w:t>
        </w:r>
      </w:hyperlink>
      <w:r>
        <w:rPr>
          <w:rFonts w:ascii="Times New Roman" w:hAnsi="Times New Roman"/>
          <w:b w:val="false"/>
          <w:i w:val="false"/>
          <w:color w:val="000000"/>
          <w:sz w:val="22"/>
        </w:rPr>
        <w:t xml:space="preserve">(455B), and </w:t>
      </w:r>
      <w:hyperlink r:id="rId6">
        <w:r>
          <w:rPr>
            <w:rStyle w:val="Hyperlink"/>
            <w:rFonts w:ascii="Times New Roman" w:hAnsi="Times New Roman"/>
            <w:b w:val="false"/>
            <w:i w:val="false"/>
            <w:color w:val="000000"/>
            <w:sz w:val="22"/>
          </w:rPr>
          <w:t>567—102.105</w:t>
        </w:r>
      </w:hyperlink>
      <w:r>
        <w:rPr>
          <w:rFonts w:ascii="Times New Roman" w:hAnsi="Times New Roman"/>
          <w:b w:val="false"/>
          <w:i w:val="false"/>
          <w:color w:val="000000"/>
          <w:sz w:val="22"/>
        </w:rPr>
        <w:t>(455B) may be land applied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102.106(1)</w:t>
      </w:r>
      <w:r>
        <w:rPr>
          <w:rFonts w:ascii="Times New Roman" w:hAnsi="Times New Roman"/>
          <w:b w:val="false"/>
          <w:i w:val="false"/>
          <w:color w:val="000000"/>
          <w:sz w:val="22"/>
        </w:rPr>
        <w:t> </w:t>
      </w:r>
      <w:r>
        <w:rPr>
          <w:rFonts w:ascii="Times New Roman" w:hAnsi="Times New Roman"/>
          <w:b w:val="false"/>
          <w:i w:val="false"/>
          <w:color w:val="000000"/>
          <w:sz w:val="22"/>
        </w:rPr>
        <w:t>The maximum application rate shall be reduced if analysis of the waste indicates that a two ton per acre per year rate would provide nutrient levels in excess of crop nutrient requirements or would provide heavy metals concentrations in the soil at levels that may be detrimental to crop production or hazardous to human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102.106(2)</w:t>
      </w:r>
      <w:r>
        <w:rPr>
          <w:rFonts w:ascii="Times New Roman" w:hAnsi="Times New Roman"/>
          <w:b w:val="false"/>
          <w:i w:val="false"/>
          <w:color w:val="000000"/>
          <w:sz w:val="22"/>
        </w:rPr>
        <w:t> </w:t>
      </w:r>
      <w:r>
        <w:rPr>
          <w:rFonts w:ascii="Times New Roman" w:hAnsi="Times New Roman"/>
          <w:b w:val="false"/>
          <w:i w:val="false"/>
          <w:color w:val="000000"/>
          <w:sz w:val="22"/>
        </w:rPr>
        <w:t>All material must be staged on ground eligible for land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102.106(3)</w:t>
      </w:r>
      <w:r>
        <w:rPr>
          <w:rFonts w:ascii="Times New Roman" w:hAnsi="Times New Roman"/>
          <w:b w:val="false"/>
          <w:i w:val="false"/>
          <w:color w:val="000000"/>
          <w:sz w:val="22"/>
        </w:rPr>
        <w:t> </w:t>
      </w:r>
      <w:r>
        <w:rPr>
          <w:rFonts w:ascii="Times New Roman" w:hAnsi="Times New Roman"/>
          <w:b w:val="false"/>
          <w:i w:val="false"/>
          <w:color w:val="000000"/>
          <w:sz w:val="22"/>
        </w:rPr>
        <w:t>Before the initial land application, the applicator must notify the department in writing. This notice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generator of the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responsible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the waste including the process to generate it, chemical analyses showing compliance with </w:t>
      </w:r>
      <w:hyperlink r:id="rId7">
        <w:r>
          <w:rPr>
            <w:rStyle w:val="Hyperlink"/>
            <w:rFonts w:ascii="Times New Roman" w:hAnsi="Times New Roman"/>
            <w:b w:val="false"/>
            <w:i w:val="false"/>
            <w:color w:val="000000"/>
            <w:sz w:val="22"/>
          </w:rPr>
          <w:t>102.103(2)</w:t>
        </w:r>
      </w:hyperlink>
      <w:r>
        <w:rPr>
          <w:rFonts w:ascii="Times New Roman" w:hAnsi="Times New Roman"/>
          <w:b w:val="false"/>
          <w:i w:val="false"/>
          <w:color w:val="000000"/>
          <w:sz w:val="22"/>
        </w:rPr>
        <w:t xml:space="preserve">, and any additional analysis that the department may require to adequately define the waste. Chemical analysis shall be done by a laboratory certified pursuant to </w:t>
      </w:r>
      <w:hyperlink r:id="rId8">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Quantities of waste to be land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Application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Legal description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aerial photo with the site outlined and any areas ineligible for application marked 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Number of acres eligible for land application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landowner’s name and contact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2.103.pdf" Type="http://schemas.openxmlformats.org/officeDocument/2006/relationships/hyperlink" Id="rId4"/>
    <Relationship TargetMode="External" Target="https://www.legis.iowa.gov/docs/iac/rule/567.102.104.pdf" Type="http://schemas.openxmlformats.org/officeDocument/2006/relationships/hyperlink" Id="rId5"/>
    <Relationship TargetMode="External" Target="https://www.legis.iowa.gov/docs/iac/rule/567.102.105.pdf" Type="http://schemas.openxmlformats.org/officeDocument/2006/relationships/hyperlink" Id="rId6"/>
    <Relationship TargetMode="External" Target="https://www.legis.iowa.gov/docs/iac/rule/567.102.103.pdf" Type="http://schemas.openxmlformats.org/officeDocument/2006/relationships/hyperlink" Id="rId7"/>
    <Relationship TargetMode="External" Target="https://www.legis.iowa.gov/docs/iac/chapter/567.83.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