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567—102.105</w:t>
      </w:r>
      <w:r>
        <w:rPr>
          <w:rFonts w:ascii="Times New Roman" w:hAnsi="Times New Roman"/>
          <w:b/>
          <w:i w:val="false"/>
          <w:color w:val="000000"/>
          <w:sz w:val="22"/>
        </w:rPr>
        <w:t xml:space="preserve">(455B) </w:t>
      </w:r>
      <w:r>
        <w:rPr>
          <w:rFonts w:ascii="Times New Roman" w:hAnsi="Times New Roman"/>
          <w:b/>
          <w:i w:val="false"/>
          <w:color w:val="000000"/>
          <w:sz w:val="22"/>
        </w:rPr>
        <w:t xml:space="preserve">Operating requirements. </w:t>
      </w:r>
      <w:r>
        <w:rPr>
          <w:rFonts w:ascii="Times New Roman" w:hAnsi="Times New Roman"/>
          <w:b w:val="false"/>
          <w:i w:val="false"/>
          <w:color w:val="000000"/>
          <w:sz w:val="22"/>
        </w:rPr>
        <w:t>All land application projects shall be operated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102.105(1)</w:t>
      </w:r>
      <w:r>
        <w:rPr>
          <w:rFonts w:ascii="Times New Roman" w:hAnsi="Times New Roman"/>
          <w:b w:val="false"/>
          <w:i w:val="false"/>
          <w:color w:val="000000"/>
          <w:sz w:val="22"/>
        </w:rPr>
        <w:t> </w:t>
      </w:r>
      <w:r>
        <w:rPr>
          <w:rFonts w:ascii="Times New Roman" w:hAnsi="Times New Roman"/>
          <w:b w:val="false"/>
          <w:i w:val="false"/>
          <w:color w:val="000000"/>
          <w:sz w:val="22"/>
        </w:rPr>
        <w:t>If solid waste is applied within 200 feet of a stream, lake, sinkhole, or tile line surface intake located downgradient of the land application site, it shall be injected or applied to the surface and mechanically incorporated into the soil within 48 hours of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102.105(2)</w:t>
      </w:r>
      <w:r>
        <w:rPr>
          <w:rFonts w:ascii="Times New Roman" w:hAnsi="Times New Roman"/>
          <w:b w:val="false"/>
          <w:i w:val="false"/>
          <w:color w:val="000000"/>
          <w:sz w:val="22"/>
        </w:rPr>
        <w:t> </w:t>
      </w:r>
      <w:r>
        <w:rPr>
          <w:rFonts w:ascii="Times New Roman" w:hAnsi="Times New Roman"/>
          <w:b w:val="false"/>
          <w:i w:val="false"/>
          <w:color w:val="000000"/>
          <w:sz w:val="22"/>
        </w:rPr>
        <w:t>If waste is applied to land where crops being grown will be grazed by or fed to livestock within two months of waste application, or where cereal grains will be harvested within two months of waste application, the waste shall be injected or shall be applied to the surface and mechanically incorporated into the soil unless specific permit conditions specify otherwise. The general public shall not be given access to the disposal site during waste disposal and for a minimum of two months after waste disposal operations have ceased.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102.105(3)</w:t>
      </w:r>
      <w:r>
        <w:rPr>
          <w:rFonts w:ascii="Times New Roman" w:hAnsi="Times New Roman"/>
          <w:b w:val="false"/>
          <w:i w:val="false"/>
          <w:color w:val="000000"/>
          <w:sz w:val="22"/>
        </w:rPr>
        <w:t> </w:t>
      </w:r>
      <w:r>
        <w:rPr>
          <w:rFonts w:ascii="Times New Roman" w:hAnsi="Times New Roman"/>
          <w:b w:val="false"/>
          <w:i w:val="false"/>
          <w:color w:val="000000"/>
          <w:sz w:val="22"/>
        </w:rPr>
        <w:t>If the waste is putrescible, it shall be injected or mechanically incorporated within 24 hours or otherwise managed to prevent runoff and odor problems.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102.105(4)</w:t>
      </w:r>
      <w:r>
        <w:rPr>
          <w:rFonts w:ascii="Times New Roman" w:hAnsi="Times New Roman"/>
          <w:b w:val="false"/>
          <w:i w:val="false"/>
          <w:color w:val="000000"/>
          <w:sz w:val="22"/>
        </w:rPr>
        <w:t> </w:t>
      </w:r>
      <w:r>
        <w:rPr>
          <w:rFonts w:ascii="Times New Roman" w:hAnsi="Times New Roman"/>
          <w:b w:val="false"/>
          <w:i w:val="false"/>
          <w:color w:val="000000"/>
          <w:sz w:val="22"/>
        </w:rPr>
        <w:t>Land application shall not take place during or immediately preceding expected rains or other occasions when runoff may result unless subsurface injection methods are utilized. Additionally, land application shall not take place during periods of high groundwater conditions or during flooding.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102.105(5)</w:t>
      </w:r>
      <w:r>
        <w:rPr>
          <w:rFonts w:ascii="Times New Roman" w:hAnsi="Times New Roman"/>
          <w:b w:val="false"/>
          <w:i w:val="false"/>
          <w:color w:val="000000"/>
          <w:sz w:val="22"/>
        </w:rPr>
        <w:t> </w:t>
      </w:r>
      <w:r>
        <w:rPr>
          <w:rFonts w:ascii="Times New Roman" w:hAnsi="Times New Roman"/>
          <w:b w:val="false"/>
          <w:i w:val="false"/>
          <w:color w:val="000000"/>
          <w:sz w:val="22"/>
        </w:rPr>
        <w:t>The application of nitrogen available from the waste and any other sources shall not exceed the acceptable agronomic application rates for the vegetation to be grown on the site over the next year. The total application of phosphorus and potassium shall not exceed the acceptable agronomic application rates for the site and crops involved.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102.105(6)</w:t>
      </w:r>
      <w:r>
        <w:rPr>
          <w:rFonts w:ascii="Times New Roman" w:hAnsi="Times New Roman"/>
          <w:b w:val="false"/>
          <w:i w:val="false"/>
          <w:color w:val="000000"/>
          <w:sz w:val="22"/>
        </w:rPr>
        <w:t> </w:t>
      </w:r>
      <w:r>
        <w:rPr>
          <w:rFonts w:ascii="Times New Roman" w:hAnsi="Times New Roman"/>
          <w:b w:val="false"/>
          <w:i w:val="false"/>
          <w:color w:val="000000"/>
          <w:sz w:val="22"/>
        </w:rPr>
        <w:t>Waste may be staged prior to application at the application site pursuant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Putrescible waste shall not be staged for more than 48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Non-putrescible waste shall not be staged for longer than two weeks.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Waste shall not be staged within 200 feet of an occupied residence nor within 500 feet of a well that is part of a public water supply, as defined in 567—subrule </w:t>
      </w:r>
      <w:hyperlink r:id="rId4">
        <w:r>
          <w:rPr>
            <w:rStyle w:val="Hyperlink"/>
            <w:rFonts w:ascii="Times New Roman" w:hAnsi="Times New Roman"/>
            <w:b w:val="false"/>
            <w:i w:val="false"/>
            <w:color w:val="000000"/>
            <w:sz w:val="22"/>
          </w:rPr>
          <w:t>40.2(1)</w:t>
        </w:r>
      </w:hyperlink>
      <w:r>
        <w:rPr>
          <w:rFonts w:ascii="Times New Roman" w:hAnsi="Times New Roman"/>
          <w:b w:val="false"/>
          <w:i w:val="false"/>
          <w:color w:val="000000"/>
          <w:sz w:val="22"/>
        </w:rPr>
        <w:t>, or 200 feet of all other wells.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waste shall not be staged on soils classified as sand, loamy sand, or silt on the USDA textural classification chart shown in </w:t>
      </w:r>
      <w:hyperlink r:id="rId5">
        <w:r>
          <w:rPr>
            <w:rStyle w:val="Hyperlink"/>
            <w:rFonts w:ascii="Times New Roman" w:hAnsi="Times New Roman"/>
            <w:b w:val="false"/>
            <w:i w:val="false"/>
            <w:color w:val="000000"/>
            <w:sz w:val="22"/>
          </w:rPr>
          <w:t>567—subrule 102.104(6)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Runoff from the waste must be controlled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If weather or extenuating circumstances prevent application from taking place, the generator must notify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102.105(7)</w:t>
      </w:r>
      <w:r>
        <w:rPr>
          <w:rFonts w:ascii="Times New Roman" w:hAnsi="Times New Roman"/>
          <w:b w:val="false"/>
          <w:i w:val="false"/>
          <w:color w:val="000000"/>
          <w:sz w:val="22"/>
        </w:rPr>
        <w:t> </w:t>
      </w:r>
      <w:r>
        <w:rPr>
          <w:rFonts w:ascii="Times New Roman" w:hAnsi="Times New Roman"/>
          <w:b w:val="false"/>
          <w:i w:val="false"/>
          <w:color w:val="000000"/>
          <w:sz w:val="22"/>
        </w:rPr>
        <w:t>When waste is supplied to other persons for land application, the generating facility shall do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Inform the recipient of the applicable requirements of the waste disposal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generating facility determines that the recipient is not complying with applicable requirements of the waste disposal program or the land application criteria, the generating facility shall work with the recipient to obtain compliance with the requirements. If subsequent compliance cannot be achieved, the generating facility shall not supply additional waste to the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Inform all persons involved in waste disposal operations of the potential health hazards associated with waste disposal, including informing them of the cautions and recommended practices that should be followed to minimize these hazards.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102.105(8)</w:t>
      </w:r>
      <w:r>
        <w:rPr>
          <w:rFonts w:ascii="Times New Roman" w:hAnsi="Times New Roman"/>
          <w:b w:val="false"/>
          <w:i w:val="false"/>
          <w:color w:val="000000"/>
          <w:sz w:val="22"/>
        </w:rPr>
        <w:t> </w:t>
      </w:r>
      <w:r>
        <w:rPr>
          <w:rFonts w:ascii="Times New Roman" w:hAnsi="Times New Roman"/>
          <w:b w:val="false"/>
          <w:i w:val="false"/>
          <w:color w:val="000000"/>
          <w:sz w:val="22"/>
        </w:rPr>
        <w:t>The generator shall maintain records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Analysis of waste to document compliance with </w:t>
      </w:r>
      <w:hyperlink r:id="rId6">
        <w:r>
          <w:rPr>
            <w:rStyle w:val="Hyperlink"/>
            <w:rFonts w:ascii="Times New Roman" w:hAnsi="Times New Roman"/>
            <w:b w:val="false"/>
            <w:i w:val="false"/>
            <w:color w:val="000000"/>
            <w:sz w:val="22"/>
          </w:rPr>
          <w:t>102.103(2)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Records of land application for each site, which shall be maintained for five years; be made available to the department upon request; and include dates of application, application rate, and quantity of waste applied.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0483D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67.40.2.pdf" Type="http://schemas.openxmlformats.org/officeDocument/2006/relationships/hyperlink" Id="rId4"/>
    <Relationship TargetMode="External" Target="https://www.legis.iowa.gov/docs/iac/rule/567.102.104.pdf" Type="http://schemas.openxmlformats.org/officeDocument/2006/relationships/hyperlink" Id="rId5"/>
    <Relationship TargetMode="External" Target="https://www.legis.iowa.gov/docs/iac/rule/567.102.103.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