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567—102.102</w:t>
      </w:r>
      <w:r>
        <w:rPr>
          <w:rFonts w:ascii="Times New Roman" w:hAnsi="Times New Roman"/>
          <w:b/>
          <w:i w:val="false"/>
          <w:color w:val="000000"/>
          <w:sz w:val="22"/>
        </w:rPr>
        <w:t xml:space="preserve">(455B) </w:t>
      </w:r>
      <w:r>
        <w:rPr>
          <w:rFonts w:ascii="Times New Roman" w:hAnsi="Times New Roman"/>
          <w:b/>
          <w:i w:val="false"/>
          <w:color w:val="000000"/>
          <w:sz w:val="22"/>
        </w:rPr>
        <w:t xml:space="preserve">Land application of water supply sludge.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102.102(1)</w:t>
      </w:r>
      <w:r>
        <w:rPr>
          <w:rFonts w:ascii="Times New Roman" w:hAnsi="Times New Roman"/>
          <w:b w:val="false"/>
          <w:i w:val="false"/>
          <w:color w:val="000000"/>
          <w:sz w:val="22"/>
        </w:rPr>
        <w:t> </w:t>
      </w:r>
      <w:r>
        <w:rPr>
          <w:rFonts w:ascii="Times New Roman" w:hAnsi="Times New Roman"/>
          <w:b w:val="false"/>
          <w:i w:val="false"/>
          <w:color w:val="000000"/>
          <w:sz w:val="22"/>
        </w:rPr>
        <w:t>Sludges generated from water supply treatment may be applied to lawns, gardens, flower beds, or similar areas associated with residential use and crops that may be consumed by humans without prior heating or processing that are commonly available to the public in raw form (e.g., sweet corn, lettuce, carrots, asparagus, squash).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102.102(2)</w:t>
      </w:r>
      <w:r>
        <w:rPr>
          <w:rFonts w:ascii="Times New Roman" w:hAnsi="Times New Roman"/>
          <w:b w:val="false"/>
          <w:i w:val="false"/>
          <w:color w:val="000000"/>
          <w:sz w:val="22"/>
        </w:rPr>
        <w:t> </w:t>
      </w:r>
      <w:r>
        <w:rPr>
          <w:rFonts w:ascii="Times New Roman" w:hAnsi="Times New Roman"/>
          <w:b w:val="false"/>
          <w:i w:val="false"/>
          <w:color w:val="000000"/>
          <w:sz w:val="22"/>
        </w:rPr>
        <w:t>Land application of sludges generated from water supply treatment are exempt from the remainder of this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