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567—102.10</w:t>
      </w:r>
      <w:r>
        <w:rPr>
          <w:rFonts w:ascii="Times New Roman" w:hAnsi="Times New Roman"/>
          <w:b/>
          <w:i w:val="false"/>
          <w:color w:val="000000"/>
          <w:sz w:val="22"/>
        </w:rPr>
        <w:t xml:space="preserve">(455D) </w:t>
      </w:r>
      <w:r>
        <w:rPr>
          <w:rFonts w:ascii="Times New Roman" w:hAnsi="Times New Roman"/>
          <w:b/>
          <w:i w:val="false"/>
          <w:color w:val="000000"/>
          <w:sz w:val="22"/>
        </w:rPr>
        <w:t xml:space="preserve">Financial assurance. </w:t>
      </w:r>
      <w:r>
        <w:rPr>
          <w:rFonts w:ascii="Times New Roman" w:hAnsi="Times New Roman"/>
          <w:b w:val="false"/>
          <w:i w:val="false"/>
          <w:color w:val="000000"/>
          <w:sz w:val="22"/>
        </w:rPr>
        <w:t xml:space="preserve">Tier 4 composting facilities must obtain and submit a financial assurance instrument to the department. The financial assurance instrument shall provide monetary funds to properly dispose of any preprocessed and postprocessed materials that remain at a facility due to the owner’s or operator’s failure to properly close the site according to the schedule approved be the department in </w:t>
      </w:r>
      <w:hyperlink r:id="rId4">
        <w:r>
          <w:rPr>
            <w:rStyle w:val="Hyperlink"/>
            <w:rFonts w:ascii="Times New Roman" w:hAnsi="Times New Roman"/>
            <w:b w:val="false"/>
            <w:i w:val="false"/>
            <w:color w:val="000000"/>
            <w:sz w:val="22"/>
          </w:rPr>
          <w:t>102.9(9)</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within six months of permit suspension, termination, revocation, or expiration if no alternative schedule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until a financial assurance instrument has been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to the department at the time of application for a permit for a new composting facility. The owner or operator must provide continuous coverage for closure and submit proof of compliance, including an updated closure cost estimate, with each permit renewal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w:t>
      </w:r>
      <w:r>
        <w:rPr>
          <w:rFonts w:ascii="Times New Roman" w:hAnsi="Times New Roman"/>
          <w:b w:val="false"/>
          <w:i w:val="false"/>
          <w:color w:val="000000"/>
          <w:sz w:val="22"/>
        </w:rPr>
        <w:t> </w:t>
      </w:r>
      <w:r>
        <w:rPr>
          <w:rFonts w:ascii="Times New Roman" w:hAnsi="Times New Roman"/>
          <w:b w:val="false"/>
          <w:i/>
          <w:color w:val="000000"/>
          <w:sz w:val="22"/>
        </w:rPr>
        <w:t xml:space="preserve">Use of one financial assurance instrument for multiple permitted activities. </w:t>
      </w:r>
      <w:r>
        <w:rPr>
          <w:rFonts w:ascii="Times New Roman" w:hAnsi="Times New Roman"/>
          <w:b w:val="false"/>
          <w:i w:val="false"/>
          <w:color w:val="000000"/>
          <w:sz w:val="22"/>
        </w:rPr>
        <w:t xml:space="preserve">Composting facilities required to maintain financial assurance pursuant to any other provisions of </w:t>
      </w:r>
      <w:hyperlink r:id="rId5">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 xml:space="preserve"> may satisfy the requirements of this rule by the use of one financial assurance instrument listed in </w:t>
      </w:r>
      <w:hyperlink r:id="rId7">
        <w:r>
          <w:rPr>
            <w:rStyle w:val="Hyperlink"/>
            <w:rFonts w:ascii="Times New Roman" w:hAnsi="Times New Roman"/>
            <w:b w:val="false"/>
            <w:i w:val="false"/>
            <w:color w:val="000000"/>
            <w:sz w:val="22"/>
          </w:rPr>
          <w:t>102.10(5)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The estimate submitted to the department must be certified by an Iowa-licensed professional engineer and must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costs, which include the cost to load the material, and total tip fees to properly dispose of the maximum tonnage of received materials that could be managed and stockpiled by the compost facility. Also included shall be the costs of properly removing any wastewater held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maintaining financial assurance pursuant to any other provisions of </w:t>
      </w:r>
      <w:hyperlink r:id="rId8">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if any, in accordance with </w:t>
      </w:r>
      <w:hyperlink r:id="rId10">
        <w:r>
          <w:rPr>
            <w:rStyle w:val="Hyperlink"/>
            <w:rFonts w:ascii="Times New Roman" w:hAnsi="Times New Roman"/>
            <w:b w:val="false"/>
            <w:i w:val="false"/>
            <w:color w:val="000000"/>
            <w:sz w:val="22"/>
          </w:rPr>
          <w:t>102.10(3)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w:t>
      </w:r>
      <w:hyperlink r:id="rId11">
        <w:r>
          <w:rPr>
            <w:rStyle w:val="Hyperlink"/>
            <w:rFonts w:ascii="Times New Roman" w:hAnsi="Times New Roman"/>
            <w:b w:val="false"/>
            <w:i w:val="false"/>
            <w:color w:val="000000"/>
            <w:sz w:val="22"/>
          </w:rPr>
          <w:t>102.10(4)</w:t>
        </w:r>
      </w:hyperlink>
      <w:r>
        <w:rPr>
          <w:rFonts w:ascii="Times New Roman" w:hAnsi="Times New Roman"/>
          <w:b w:val="false"/>
          <w:i w:val="false"/>
          <w:color w:val="000000"/>
          <w:sz w:val="22"/>
        </w:rPr>
        <w:t xml:space="preserve"> and shall not be canceled, revoked, disbursed, released, or allowed to terminate without the approval of the department. The language of the financial assurance instrument shall meet the criteria in </w:t>
      </w:r>
      <w:hyperlink r:id="rId12">
        <w:r>
          <w:rPr>
            <w:rStyle w:val="Hyperlink"/>
            <w:rFonts w:ascii="Times New Roman" w:hAnsi="Times New Roman"/>
            <w:b w:val="false"/>
            <w:i w:val="false"/>
            <w:color w:val="000000"/>
            <w:sz w:val="22"/>
          </w:rPr>
          <w:t>567—subrule 101.708(3)</w:t>
        </w:r>
      </w:hyperlink>
      <w:r>
        <w:rPr>
          <w:rFonts w:ascii="Times New Roman" w:hAnsi="Times New Roman"/>
          <w:b w:val="false"/>
          <w:i w:val="false"/>
          <w:color w:val="000000"/>
          <w:sz w:val="22"/>
        </w:rPr>
        <w:t>. Financial assurance shall be provided by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 pursuant to </w:t>
      </w:r>
      <w:hyperlink r:id="rId13">
        <w:r>
          <w:rPr>
            <w:rStyle w:val="Hyperlink"/>
            <w:rFonts w:ascii="Times New Roman" w:hAnsi="Times New Roman"/>
            <w:b w:val="false"/>
            <w:i w:val="false"/>
            <w:color w:val="000000"/>
            <w:sz w:val="22"/>
          </w:rPr>
          <w:t>567—subrule 101.707(1)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Surety bond, pursuant to </w:t>
      </w:r>
      <w:hyperlink r:id="rId14">
        <w:r>
          <w:rPr>
            <w:rStyle w:val="Hyperlink"/>
            <w:rFonts w:ascii="Times New Roman" w:hAnsi="Times New Roman"/>
            <w:b w:val="false"/>
            <w:i w:val="false"/>
            <w:color w:val="000000"/>
            <w:sz w:val="22"/>
          </w:rPr>
          <w:t>567—subrule 101.707(2)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Letter of credit, pursuant to </w:t>
      </w:r>
      <w:hyperlink r:id="rId15">
        <w:r>
          <w:rPr>
            <w:rStyle w:val="Hyperlink"/>
            <w:rFonts w:ascii="Times New Roman" w:hAnsi="Times New Roman"/>
            <w:b w:val="false"/>
            <w:i w:val="false"/>
            <w:color w:val="000000"/>
            <w:sz w:val="22"/>
          </w:rPr>
          <w:t>567—subrule 101.707(3)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Corporate guarantee pursuant to </w:t>
      </w:r>
      <w:hyperlink r:id="rId16">
        <w:r>
          <w:rPr>
            <w:rStyle w:val="Hyperlink"/>
            <w:rFonts w:ascii="Times New Roman" w:hAnsi="Times New Roman"/>
            <w:b w:val="false"/>
            <w:i w:val="false"/>
            <w:color w:val="000000"/>
            <w:sz w:val="22"/>
          </w:rPr>
          <w:t>567—subrule 101.707(7)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guarantee pursuant to </w:t>
      </w:r>
      <w:hyperlink r:id="rId17">
        <w:r>
          <w:rPr>
            <w:rStyle w:val="Hyperlink"/>
            <w:rFonts w:ascii="Times New Roman" w:hAnsi="Times New Roman"/>
            <w:b w:val="false"/>
            <w:i w:val="false"/>
            <w:color w:val="000000"/>
            <w:sz w:val="22"/>
          </w:rPr>
          <w:t>567—subrule 101.707(8)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dedicated fund pursuant to </w:t>
      </w:r>
      <w:hyperlink r:id="rId18">
        <w:r>
          <w:rPr>
            <w:rStyle w:val="Hyperlink"/>
            <w:rFonts w:ascii="Times New Roman" w:hAnsi="Times New Roman"/>
            <w:b w:val="false"/>
            <w:i w:val="false"/>
            <w:color w:val="000000"/>
            <w:sz w:val="22"/>
          </w:rPr>
          <w:t>567—subrule 101.707(9)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9.pdf" Type="http://schemas.openxmlformats.org/officeDocument/2006/relationships/hyperlink" Id="rId4"/>
    <Relationship TargetMode="External" Target="https://www.legis.iowa.gov/docs/iac/chapter/567.100.pdf" Type="http://schemas.openxmlformats.org/officeDocument/2006/relationships/hyperlink" Id="rId5"/>
    <Relationship TargetMode="External" Target="https://www.legis.iowa.gov/docs/iac/chapter/567.102.pdf" Type="http://schemas.openxmlformats.org/officeDocument/2006/relationships/hyperlink" Id="rId6"/>
    <Relationship TargetMode="External" Target="https://www.legis.iowa.gov/docs/iac/rule/567.102.10.pdf" Type="http://schemas.openxmlformats.org/officeDocument/2006/relationships/hyperlink" Id="rId7"/>
    <Relationship TargetMode="External" Target="https://www.legis.iowa.gov/docs/iac/chapter/567.100.pdf" Type="http://schemas.openxmlformats.org/officeDocument/2006/relationships/hyperlink" Id="rId8"/>
    <Relationship TargetMode="External" Target="https://www.legis.iowa.gov/docs/iac/chapter/567.123.pdf" Type="http://schemas.openxmlformats.org/officeDocument/2006/relationships/hyperlink" Id="rId9"/>
    <Relationship TargetMode="External" Target="https://www.legis.iowa.gov/docs/iac/rule/567.102.10.pdf" Type="http://schemas.openxmlformats.org/officeDocument/2006/relationships/hyperlink" Id="rId10"/>
    <Relationship TargetMode="External" Target="https://www.legis.iowa.gov/docs/iac/rule/567.102.10.pdf" Type="http://schemas.openxmlformats.org/officeDocument/2006/relationships/hyperlink" Id="rId11"/>
    <Relationship TargetMode="External" Target="https://www.legis.iowa.gov/docs/iac/rule/567.101.708.pdf" Type="http://schemas.openxmlformats.org/officeDocument/2006/relationships/hyperlink" Id="rId12"/>
    <Relationship TargetMode="External" Target="https://www.legis.iowa.gov/docs/iac/rule/567.101.707.pdf" Type="http://schemas.openxmlformats.org/officeDocument/2006/relationships/hyperlink" Id="rId13"/>
    <Relationship TargetMode="External" Target="https://www.legis.iowa.gov/docs/iac/rule/567.101.707.pdf" Type="http://schemas.openxmlformats.org/officeDocument/2006/relationships/hyperlink" Id="rId14"/>
    <Relationship TargetMode="External" Target="https://www.legis.iowa.gov/docs/iac/rule/567.101.707.pdf" Type="http://schemas.openxmlformats.org/officeDocument/2006/relationships/hyperlink" Id="rId15"/>
    <Relationship TargetMode="External" Target="https://www.legis.iowa.gov/docs/iac/rule/567.101.707.pdf" Type="http://schemas.openxmlformats.org/officeDocument/2006/relationships/hyperlink" Id="rId16"/>
    <Relationship TargetMode="External" Target="https://www.legis.iowa.gov/docs/iac/rule/567.101.707.pdf" Type="http://schemas.openxmlformats.org/officeDocument/2006/relationships/hyperlink" Id="rId17"/>
    <Relationship TargetMode="External" Target="https://www.legis.iowa.gov/docs/iac/rule/567.101.707.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