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567—102.1</w:t>
      </w:r>
      <w:r>
        <w:rPr>
          <w:rFonts w:ascii="Times New Roman" w:hAnsi="Times New Roman"/>
          <w:b/>
          <w:i w:val="false"/>
          <w:color w:val="000000"/>
          <w:sz w:val="22"/>
        </w:rPr>
        <w:t xml:space="preserve">(455D) </w:t>
      </w:r>
      <w:r>
        <w:rPr>
          <w:rFonts w:ascii="Times New Roman" w:hAnsi="Times New Roman"/>
          <w:b/>
          <w:i w:val="false"/>
          <w:color w:val="000000"/>
          <w:sz w:val="22"/>
        </w:rPr>
        <w:t xml:space="preserve">Applicability; compliance. </w:t>
      </w:r>
      <w:r>
        <w:rPr>
          <w:rFonts w:ascii="Times New Roman" w:hAnsi="Times New Roman"/>
          <w:b w:val="false"/>
          <w:i w:val="false"/>
          <w:color w:val="000000"/>
          <w:sz w:val="22"/>
        </w:rPr>
        <w:t xml:space="preserve">This division shall apply to the composting of organic material, including yard wastes. Composting facilities may include turned windrows, aerated static piles, aerated in-vessel systems, or other methods approved by the department. This division does not apply to manure composted under </w:t>
      </w:r>
      <w:hyperlink r:id="rId4">
        <w:r>
          <w:rPr>
            <w:rStyle w:val="Hyperlink"/>
            <w:rFonts w:ascii="Times New Roman" w:hAnsi="Times New Roman"/>
            <w:b w:val="false"/>
            <w:i w:val="false"/>
            <w:color w:val="000000"/>
            <w:sz w:val="22"/>
          </w:rPr>
          <w:t>567—Chapter 65</w:t>
        </w:r>
      </w:hyperlink>
      <w:r>
        <w:rPr>
          <w:rFonts w:ascii="Times New Roman" w:hAnsi="Times New Roman"/>
          <w:b w:val="false"/>
          <w:i w:val="false"/>
          <w:color w:val="000000"/>
          <w:sz w:val="22"/>
        </w:rPr>
        <w:t xml:space="preserve"> or other provisions of Iowa law, dead animals and raw rendering material disposed under the authority of the department of agriculture and land stewardship (IDALS), materials managed under Iowa Code chapter </w:t>
      </w:r>
      <w:hyperlink r:id="rId5">
        <w:r>
          <w:rPr>
            <w:rStyle w:val="Hyperlink"/>
            <w:rFonts w:ascii="Times New Roman" w:hAnsi="Times New Roman"/>
            <w:b w:val="false"/>
            <w:i w:val="false"/>
            <w:color w:val="000000"/>
            <w:sz w:val="22"/>
          </w:rPr>
          <w:t>200A</w:t>
        </w:r>
      </w:hyperlink>
      <w:r>
        <w:rPr>
          <w:rFonts w:ascii="Times New Roman" w:hAnsi="Times New Roman"/>
          <w:b w:val="false"/>
          <w:i w:val="false"/>
          <w:color w:val="000000"/>
          <w:sz w:val="22"/>
        </w:rPr>
        <w:t xml:space="preserve"> (bulk dry animal nutrient products), or to the sale or distribution of finished compost covered in Iowa Code chapter </w:t>
      </w:r>
      <w:hyperlink r:id="rId6">
        <w:r>
          <w:rPr>
            <w:rStyle w:val="Hyperlink"/>
            <w:rFonts w:ascii="Times New Roman" w:hAnsi="Times New Roman"/>
            <w:b w:val="false"/>
            <w:i w:val="false"/>
            <w:color w:val="000000"/>
            <w:sz w:val="22"/>
          </w:rPr>
          <w:t>200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102.1(1)</w:t>
      </w:r>
      <w:r>
        <w:rPr>
          <w:rFonts w:ascii="Times New Roman" w:hAnsi="Times New Roman"/>
          <w:b w:val="false"/>
          <w:i w:val="false"/>
          <w:color w:val="000000"/>
          <w:sz w:val="22"/>
        </w:rPr>
        <w:t> </w:t>
      </w:r>
      <w:r>
        <w:rPr>
          <w:rFonts w:ascii="Times New Roman" w:hAnsi="Times New Roman"/>
          <w:b w:val="false"/>
          <w:i w:val="false"/>
          <w:color w:val="000000"/>
          <w:sz w:val="22"/>
        </w:rPr>
        <w:t>Compliance with this division in no way relieves the compost facility of the responsibility of complying with all other local, state, or federal statutes, ordinances, and rules and other applicable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102.1(2)</w:t>
      </w:r>
      <w:r>
        <w:rPr>
          <w:rFonts w:ascii="Times New Roman" w:hAnsi="Times New Roman"/>
          <w:b w:val="false"/>
          <w:i w:val="false"/>
          <w:color w:val="000000"/>
          <w:sz w:val="22"/>
        </w:rPr>
        <w:t> </w:t>
      </w:r>
      <w:r>
        <w:rPr>
          <w:rFonts w:ascii="Times New Roman" w:hAnsi="Times New Roman"/>
          <w:b w:val="false"/>
          <w:i w:val="false"/>
          <w:color w:val="000000"/>
          <w:sz w:val="22"/>
        </w:rPr>
        <w:t>For purposes of this division, tonnages may be calculated by multiplying cubic yardage by bulk density.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102.1(3)</w:t>
      </w:r>
      <w:r>
        <w:rPr>
          <w:rFonts w:ascii="Times New Roman" w:hAnsi="Times New Roman"/>
          <w:b w:val="false"/>
          <w:i w:val="false"/>
          <w:color w:val="000000"/>
          <w:sz w:val="22"/>
        </w:rPr>
        <w:t> </w:t>
      </w:r>
      <w:r>
        <w:rPr>
          <w:rFonts w:ascii="Times New Roman" w:hAnsi="Times New Roman"/>
          <w:b w:val="false"/>
          <w:i w:val="false"/>
          <w:color w:val="000000"/>
          <w:sz w:val="22"/>
        </w:rPr>
        <w:t>All rules, standards, technical guidance, and other similar legal or technical documents referenced in this division shall be the version of those documents in effect on August 1, 2025, unless otherwise noted in these rules, and except for references to the Iowa Code and Iowa Administrative Code, which shall always be the most recent version unless otherwise noted in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567.65.pdf" Type="http://schemas.openxmlformats.org/officeDocument/2006/relationships/hyperlink" Id="rId4"/>
    <Relationship TargetMode="External" Target="https://www.legis.iowa.gov/docs/ico/chapter/200A.pdf" Type="http://schemas.openxmlformats.org/officeDocument/2006/relationships/hyperlink" Id="rId5"/>
    <Relationship TargetMode="External" Target="https://www.legis.iowa.gov/docs/ico/chapter/200.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