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567—101.709</w:t>
      </w:r>
      <w:r>
        <w:rPr>
          <w:rFonts w:ascii="Times New Roman" w:hAnsi="Times New Roman"/>
          <w:b/>
          <w:i w:val="false"/>
          <w:color w:val="000000"/>
          <w:sz w:val="22"/>
        </w:rPr>
        <w:t xml:space="preserve">(455B) </w:t>
      </w:r>
      <w:r>
        <w:rPr>
          <w:rFonts w:ascii="Times New Roman" w:hAnsi="Times New Roman"/>
          <w:b/>
          <w:i w:val="false"/>
          <w:color w:val="000000"/>
          <w:sz w:val="22"/>
        </w:rPr>
        <w:t xml:space="preserve">Closure and post-closure care account(s). </w:t>
      </w:r>
      <w:r>
        <w:rPr>
          <w:rFonts w:ascii="Times New Roman" w:hAnsi="Times New Roman"/>
          <w:b w:val="false"/>
          <w:i w:val="false"/>
          <w:color w:val="000000"/>
          <w:sz w:val="22"/>
        </w:rPr>
        <w:t xml:space="preserve">Except as provided in </w:t>
      </w:r>
      <w:hyperlink r:id="rId4">
        <w:r>
          <w:rPr>
            <w:rStyle w:val="Hyperlink"/>
            <w:rFonts w:ascii="Times New Roman" w:hAnsi="Times New Roman"/>
            <w:b w:val="false"/>
            <w:i w:val="false"/>
            <w:color w:val="000000"/>
            <w:sz w:val="22"/>
          </w:rPr>
          <w:t>101.709(10)</w:t>
        </w:r>
      </w:hyperlink>
      <w:r>
        <w:rPr>
          <w:rFonts w:ascii="Times New Roman" w:hAnsi="Times New Roman"/>
          <w:b w:val="false"/>
          <w:i w:val="false"/>
          <w:color w:val="000000"/>
          <w:sz w:val="22"/>
        </w:rPr>
        <w:t xml:space="preserve">, the holder of a permit for a sanitary landfill shall maintain the closure and post-closure care account(s) as part of financial assurance pursuant to Iowa Code section </w:t>
      </w:r>
      <w:hyperlink r:id="rId5">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accounts shall be specific to a particular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101.709(1)</w:t>
      </w:r>
      <w:r>
        <w:rPr>
          <w:rFonts w:ascii="Times New Roman" w:hAnsi="Times New Roman"/>
          <w:b w:val="false"/>
          <w:i w:val="false"/>
          <w:color w:val="000000"/>
          <w:sz w:val="22"/>
        </w:rPr>
        <w:t> </w:t>
      </w:r>
      <w:r>
        <w:rPr>
          <w:rFonts w:ascii="Times New Roman" w:hAnsi="Times New Roman"/>
          <w:b w:val="false"/>
          <w:i w:val="false"/>
          <w:color w:val="000000"/>
          <w:sz w:val="22"/>
        </w:rPr>
        <w:t>Money in the accounts shall not be assigned for the benefit of creditors, except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101.709(2)</w:t>
      </w:r>
      <w:r>
        <w:rPr>
          <w:rFonts w:ascii="Times New Roman" w:hAnsi="Times New Roman"/>
          <w:b w:val="false"/>
          <w:i w:val="false"/>
          <w:color w:val="000000"/>
          <w:sz w:val="22"/>
        </w:rPr>
        <w:t> </w:t>
      </w:r>
      <w:r>
        <w:rPr>
          <w:rFonts w:ascii="Times New Roman" w:hAnsi="Times New Roman"/>
          <w:b w:val="false"/>
          <w:i w:val="false"/>
          <w:color w:val="000000"/>
          <w:sz w:val="22"/>
        </w:rPr>
        <w:t>Money in the accounts shall not be used to pay any final judgment against a permit holder arising out of the ownership or operation of the site during its active life or after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101.709(3)</w:t>
      </w:r>
      <w:r>
        <w:rPr>
          <w:rFonts w:ascii="Times New Roman" w:hAnsi="Times New Roman"/>
          <w:b w:val="false"/>
          <w:i w:val="false"/>
          <w:color w:val="000000"/>
          <w:sz w:val="22"/>
        </w:rPr>
        <w:t> </w:t>
      </w:r>
      <w:r>
        <w:rPr>
          <w:rFonts w:ascii="Times New Roman" w:hAnsi="Times New Roman"/>
          <w:b w:val="false"/>
          <w:i w:val="false"/>
          <w:color w:val="000000"/>
          <w:sz w:val="22"/>
        </w:rPr>
        <w:t xml:space="preserve">Withdrawal of funds. Except as provided in </w:t>
      </w:r>
      <w:hyperlink r:id="rId6">
        <w:r>
          <w:rPr>
            <w:rStyle w:val="Hyperlink"/>
            <w:rFonts w:ascii="Times New Roman" w:hAnsi="Times New Roman"/>
            <w:b w:val="false"/>
            <w:i w:val="false"/>
            <w:color w:val="000000"/>
            <w:sz w:val="22"/>
          </w:rPr>
          <w:t>101.709(4)</w:t>
        </w:r>
      </w:hyperlink>
      <w:r>
        <w:rPr>
          <w:rFonts w:ascii="Times New Roman" w:hAnsi="Times New Roman"/>
          <w:b w:val="false"/>
          <w:i w:val="false"/>
          <w:color w:val="000000"/>
          <w:sz w:val="22"/>
        </w:rPr>
        <w:t xml:space="preserve">, money in the accounts may be withdrawn without departmental approval only for the purpose of funding closure, including partial closure, or post-closure care activities that are in conformance with the sanitary landfill’s approved closure and post-closure plans. Withdrawals for activities not in conformance with the approved closure and post-closure plans must receive prior written approval from the department. Permit holders using a trust fund established pursuant to </w:t>
      </w:r>
      <w:hyperlink r:id="rId7">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to satisfy the requirements of this rule must comply with the requirements of </w:t>
      </w:r>
      <w:hyperlink r:id="rId8">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“g”</w:t>
      </w:r>
      <w:r>
        <w:rPr>
          <w:rFonts w:ascii="Times New Roman" w:hAnsi="Times New Roman"/>
          <w:b w:val="false"/>
          <w:i w:val="false"/>
          <w:color w:val="000000"/>
          <w:sz w:val="22"/>
        </w:rPr>
        <w:t xml:space="preserve"> prior to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101.709(4)</w:t>
      </w:r>
      <w:r>
        <w:rPr>
          <w:rFonts w:ascii="Times New Roman" w:hAnsi="Times New Roman"/>
          <w:b w:val="false"/>
          <w:i w:val="false"/>
          <w:color w:val="000000"/>
          <w:sz w:val="22"/>
        </w:rPr>
        <w:t> </w:t>
      </w:r>
      <w:r>
        <w:rPr>
          <w:rFonts w:ascii="Times New Roman" w:hAnsi="Times New Roman"/>
          <w:b w:val="false"/>
          <w:i w:val="false"/>
          <w:color w:val="000000"/>
          <w:sz w:val="22"/>
        </w:rPr>
        <w:t>Excess funds. If the balance of the closure and post-closure care account(s) exceeds the current cost estimate for closure or post-closure care at any time, the permit holder may withdraw the excess funds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101.709(5)</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establishment of account. A permit holder shall, on a form prescribed by the department, at the time of permit application and renewal, submit a statement of account signed by the permit holder, which indicates that accounts have been established pursuant to </w:t>
      </w:r>
      <w:hyperlink r:id="rId9">
        <w:r>
          <w:rPr>
            <w:rStyle w:val="Hyperlink"/>
            <w:rFonts w:ascii="Times New Roman" w:hAnsi="Times New Roman"/>
            <w:b w:val="false"/>
            <w:i w:val="false"/>
            <w:color w:val="000000"/>
            <w:sz w:val="22"/>
          </w:rPr>
          <w:t>567—101.709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101.709(6)</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account established pursuant to </w:t>
      </w:r>
      <w:hyperlink r:id="rId10">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for a trust fund or </w:t>
      </w:r>
      <w:hyperlink r:id="rId11">
        <w:r>
          <w:rPr>
            <w:rStyle w:val="Hyperlink"/>
            <w:rFonts w:ascii="Times New Roman" w:hAnsi="Times New Roman"/>
            <w:b w:val="false"/>
            <w:i w:val="false"/>
            <w:color w:val="000000"/>
            <w:sz w:val="22"/>
          </w:rPr>
          <w:t>101.707(9)</w:t>
        </w:r>
      </w:hyperlink>
      <w:r>
        <w:rPr>
          <w:rFonts w:ascii="Times New Roman" w:hAnsi="Times New Roman"/>
          <w:b w:val="false"/>
          <w:i w:val="false"/>
          <w:color w:val="000000"/>
          <w:sz w:val="22"/>
        </w:rPr>
        <w:t xml:space="preserve"> for a local government dedicated fund satisfies the requirements of </w:t>
      </w:r>
      <w:hyperlink r:id="rId12">
        <w:r>
          <w:rPr>
            <w:rStyle w:val="Hyperlink"/>
            <w:rFonts w:ascii="Times New Roman" w:hAnsi="Times New Roman"/>
            <w:b w:val="false"/>
            <w:i w:val="false"/>
            <w:color w:val="000000"/>
            <w:sz w:val="22"/>
          </w:rPr>
          <w:t>567—101.709</w:t>
        </w:r>
      </w:hyperlink>
      <w:r>
        <w:rPr>
          <w:rFonts w:ascii="Times New Roman" w:hAnsi="Times New Roman"/>
          <w:b w:val="false"/>
          <w:i w:val="false"/>
          <w:color w:val="000000"/>
          <w:sz w:val="22"/>
        </w:rPr>
        <w:t xml:space="preserve">(455B), and the account must comply with Iowa Code section </w:t>
      </w:r>
      <w:hyperlink r:id="rId13">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101.709(7)</w:t>
      </w:r>
      <w:r>
        <w:rPr>
          <w:rFonts w:ascii="Times New Roman" w:hAnsi="Times New Roman"/>
          <w:b w:val="false"/>
          <w:i w:val="false"/>
          <w:color w:val="000000"/>
          <w:sz w:val="22"/>
        </w:rPr>
        <w:t> </w:t>
      </w:r>
      <w:r>
        <w:rPr>
          <w:rFonts w:ascii="Times New Roman" w:hAnsi="Times New Roman"/>
          <w:b w:val="false"/>
          <w:i w:val="false"/>
          <w:color w:val="000000"/>
          <w:sz w:val="22"/>
        </w:rPr>
        <w:t>Yearly deposits. Unless otherwise authorized by the department or provided for within this division (i.e., trust fund or local government dedicated fund deposit calculation), deposits into the closure and post-closure care account(s) shall be made yearly in the amount specified in this subrule by the close of the permitted facility’s fiscal year. The closure and post-closure care account(s) shall be fully funded at the time of site closure. For active sanitary landfills not using a trust fund or local government dedicated fund as the sole financial assurance instrument, the minimum yearly deposit to the closure and post-closure care account(s) shall be determined using the following formula:</w:t>
      </w:r>
    </w:p>
    <w:tbl>
      <w:tblPr>
        <w:tblW w:w="0" w:type="auto"/>
        <w:tblCellSpacing w:w="0" w:type="auto"/>
        <w:tblBorders>
          <w:top w:val="none"/>
          <w:left w:val="none"/>
          <w:bottom w:val="none"/>
          <w:right w:val="none"/>
          <w:insideH w:val="none"/>
          <w:insideV w:val="none"/>
        </w:tblBorders>
        <w:tblLayout w:type="fixed"/>
      </w:tblPr>
      <w:tblGrid>
        <w:gridCol w:w="2728"/>
        <w:gridCol w:w="1960"/>
        <w:gridCol w:w="4264"/>
      </w:tblGrid>
      <w:tr>
        <w:trPr>
          <w:trHeight w:val="510" w:hRule="atLeast"/>
        </w:trPr>
        <w:tc>
          <w:tcPr>
            <w:tcW w:w="272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CE – AB</w:t>
            </w:r>
          </w:p>
        </w:tc>
        <w:tc>
          <w:tcPr>
            <w:tcW w:w="1960" w:type="dxa"/>
            <w:vMerge w:val="restart"/>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w:t>
            </w:r>
          </w:p>
        </w:tc>
        <w:tc>
          <w:tcPr>
            <w:tcW w:w="4264"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TR = Yearly Deposit</w:t>
            </w:r>
          </w:p>
        </w:tc>
      </w:tr>
      <w:tr>
        <w:trPr>
          <w:trHeight w:val="195" w:hRule="atLeast"/>
        </w:trPr>
        <w:tc>
          <w:tcPr>
            <w:tcW w:w="272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RPC</w:t>
            </w: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“CE” is the current cost estimate of closure and post-closure care costs.</w:t>
      </w:r>
    </w:p>
    <w:p>
      <w:pPr>
        <w:spacing w:before="0" w:after="0"/>
        <w:ind w:left="120"/>
        <w:jc w:val="both"/>
      </w:pPr>
      <w:r>
        <w:rPr>
          <w:rFonts w:ascii="Times New Roman" w:hAnsi="Times New Roman"/>
          <w:b w:val="false"/>
          <w:i w:val="false"/>
          <w:color w:val="000000"/>
          <w:sz w:val="22"/>
        </w:rPr>
        <w:t>“AB” is the balance of the closure and post-closure care account(s) at the close of the previous fiscal year.</w:t>
      </w:r>
    </w:p>
    <w:p>
      <w:pPr>
        <w:spacing w:before="0" w:after="0"/>
        <w:ind w:left="120"/>
        <w:jc w:val="both"/>
      </w:pPr>
      <w:r>
        <w:rPr>
          <w:rFonts w:ascii="Times New Roman" w:hAnsi="Times New Roman"/>
          <w:b w:val="false"/>
          <w:i w:val="false"/>
          <w:color w:val="000000"/>
          <w:sz w:val="22"/>
        </w:rPr>
        <w:t xml:space="preserve">“RPC” is the remaining permitted capacity, in tons, of the sanitary landfill as of the start of the permit holder’s fiscal year. RPC may include those areas that have yet to be constructed but have received written design approval from the department. Justification for RPC calculations shall be submitted annually pursuant to </w:t>
      </w:r>
      <w:hyperlink r:id="rId14">
        <w:r>
          <w:rPr>
            <w:rStyle w:val="Hyperlink"/>
            <w:rFonts w:ascii="Times New Roman" w:hAnsi="Times New Roman"/>
            <w:b w:val="false"/>
            <w:i w:val="false"/>
            <w:color w:val="000000"/>
            <w:sz w:val="22"/>
          </w:rPr>
          <w:t>567—101.704</w:t>
        </w:r>
      </w:hyperlink>
      <w:r>
        <w:rPr>
          <w:rFonts w:ascii="Times New Roman" w:hAnsi="Times New Roman"/>
          <w:b w:val="false"/>
          <w:i w:val="false"/>
          <w:color w:val="000000"/>
          <w:sz w:val="22"/>
        </w:rPr>
        <w:t xml:space="preserve">(455B) and </w:t>
      </w:r>
      <w:hyperlink r:id="rId15">
        <w:r>
          <w:rPr>
            <w:rStyle w:val="Hyperlink"/>
            <w:rFonts w:ascii="Times New Roman" w:hAnsi="Times New Roman"/>
            <w:b w:val="false"/>
            <w:i w:val="false"/>
            <w:color w:val="000000"/>
            <w:sz w:val="22"/>
          </w:rPr>
          <w:t>567—101.705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“TR” is the number of tons of solid waste disposed of at the site in the permit holder’s prior fiscal year.</w:t>
      </w:r>
    </w:p>
    <w:p>
      <w:pPr>
        <w:spacing w:before="0" w:after="0"/>
        <w:ind w:left="120"/>
        <w:jc w:val="both"/>
      </w:pPr>
      <w:r>
        <w:rPr>
          <w:rFonts w:ascii="Times New Roman" w:hAnsi="Times New Roman"/>
          <w:b w:val="false"/>
          <w:i w:val="false"/>
          <w:color w:val="000000"/>
          <w:sz w:val="22"/>
        </w:rPr>
        <w:t>For closed landfills, the closure and post-closure care account(s) shall remain fully funded throughout the post-closure period. Any account balance deficiency shall be rectified by the end of the permitted facility’s fiscal year in which the account balance deficiency was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101.709(8)</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closure and post-closure care account(s) may be commingled with other accounts so long as the amounts credited to each account balance are reported separately, pursuant to </w:t>
      </w:r>
      <w:hyperlink r:id="rId16">
        <w:r>
          <w:rPr>
            <w:rStyle w:val="Hyperlink"/>
            <w:rFonts w:ascii="Times New Roman" w:hAnsi="Times New Roman"/>
            <w:b w:val="false"/>
            <w:i w:val="false"/>
            <w:color w:val="000000"/>
            <w:sz w:val="22"/>
          </w:rPr>
          <w:t>101.704(1)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101.705(1)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101.709(9)</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full rights of access to all funds existing in a permitted facility’s closure and post-closure care account(s), at the sole discretion of the department, if the permit holder fails to undertake closure and post-closure care activities after being directed to do so by a final agency action of the department. These funds shall be used only for the purposes of funding closure and post-closure care activities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101.709(10)</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8">
        <w:r>
          <w:rPr>
            <w:rStyle w:val="Hyperlink"/>
            <w:rFonts w:ascii="Times New Roman" w:hAnsi="Times New Roman"/>
            <w:b w:val="false"/>
            <w:i w:val="false"/>
            <w:color w:val="000000"/>
            <w:sz w:val="22"/>
          </w:rPr>
          <w:t>455B.306(12)</w:t>
        </w:r>
      </w:hyperlink>
      <w:r>
        <w:rPr>
          <w:rFonts w:ascii="Times New Roman" w:hAnsi="Times New Roman"/>
          <w:b w:val="false"/>
          <w:i w:val="false"/>
          <w:color w:val="000000"/>
          <w:sz w:val="22"/>
        </w:rPr>
        <w:t xml:space="preserve">, a sanitary landfill owned by an electric generating facility and used exclusively for the disposal of coal combustion residual shall not be required to maintain a closure and post-closure care account(s) but may demonstrate financial assurance in accordance with this division by any of the instruments described in </w:t>
      </w:r>
      <w:hyperlink r:id="rId19">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or by an alternative method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101.709(11)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0">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r>
        <w:rPr>
          <w:rFonts w:ascii="Times New Roman" w:hAnsi="Times New Roman"/>
          <w:b w:val="false"/>
          <w:i w:val="false"/>
          <w:color w:val="000000"/>
          <w:sz w:val="22"/>
        </w:rPr>
        <w:t xml:space="preserve"> industrial sanitary landfills permitted pursuant to Division III of this chapter and non-utility coal combustion residual sanitary landfills permitted pursuant to Division IV of this chapter prior to September 23, 2026, and for which closure and post-closure accounts have not been established pursuant to </w:t>
      </w:r>
      <w:hyperlink r:id="rId21">
        <w:r>
          <w:rPr>
            <w:rStyle w:val="Hyperlink"/>
            <w:rFonts w:ascii="Times New Roman" w:hAnsi="Times New Roman"/>
            <w:b w:val="false"/>
            <w:i w:val="false"/>
            <w:color w:val="000000"/>
            <w:sz w:val="22"/>
          </w:rPr>
          <w:t>101.709(5)</w:t>
        </w:r>
      </w:hyperlink>
      <w:r>
        <w:rPr>
          <w:rFonts w:ascii="Times New Roman" w:hAnsi="Times New Roman"/>
          <w:b w:val="false"/>
          <w:i w:val="false"/>
          <w:color w:val="000000"/>
          <w:sz w:val="22"/>
        </w:rPr>
        <w:t>, shall submit proof of establishment within six months of September 23,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2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709.pdf" Type="http://schemas.openxmlformats.org/officeDocument/2006/relationships/hyperlink" Id="rId4"/>
    <Relationship TargetMode="External" Target="https://www.legis.iowa.gov/docs/ico/chapter/455B.306.pdf" Type="http://schemas.openxmlformats.org/officeDocument/2006/relationships/hyperlink" Id="rId5"/>
    <Relationship TargetMode="External" Target="https://www.legis.iowa.gov/docs/iac/rule/567.101.709.pdf" Type="http://schemas.openxmlformats.org/officeDocument/2006/relationships/hyperlink" Id="rId6"/>
    <Relationship TargetMode="External" Target="https://www.legis.iowa.gov/docs/iac/rule/567.101.707.pdf" Type="http://schemas.openxmlformats.org/officeDocument/2006/relationships/hyperlink" Id="rId7"/>
    <Relationship TargetMode="External" Target="https://www.legis.iowa.gov/docs/iac/rule/567.101.707.pdf" Type="http://schemas.openxmlformats.org/officeDocument/2006/relationships/hyperlink" Id="rId8"/>
    <Relationship TargetMode="External" Target="https://www.legis.iowa.gov/docs/iac/rule/567.101.709.pdf" Type="http://schemas.openxmlformats.org/officeDocument/2006/relationships/hyperlink" Id="rId9"/>
    <Relationship TargetMode="External" Target="https://www.legis.iowa.gov/docs/iac/rule/567.101.707.pdf" Type="http://schemas.openxmlformats.org/officeDocument/2006/relationships/hyperlink" Id="rId10"/>
    <Relationship TargetMode="External" Target="https://www.legis.iowa.gov/docs/iac/rule/567.101.707.pdf" Type="http://schemas.openxmlformats.org/officeDocument/2006/relationships/hyperlink" Id="rId11"/>
    <Relationship TargetMode="External" Target="https://www.legis.iowa.gov/docs/iac/rule/567.101.709.pdf" Type="http://schemas.openxmlformats.org/officeDocument/2006/relationships/hyperlink" Id="rId12"/>
    <Relationship TargetMode="External" Target="https://www.legis.iowa.gov/docs/ico/chapter/455B.306.pdf" Type="http://schemas.openxmlformats.org/officeDocument/2006/relationships/hyperlink" Id="rId13"/>
    <Relationship TargetMode="External" Target="https://www.legis.iowa.gov/docs/iac/rule/567.101.704.pdf" Type="http://schemas.openxmlformats.org/officeDocument/2006/relationships/hyperlink" Id="rId14"/>
    <Relationship TargetMode="External" Target="https://www.legis.iowa.gov/docs/iac/rule/567.101.705.pdf" Type="http://schemas.openxmlformats.org/officeDocument/2006/relationships/hyperlink" Id="rId15"/>
    <Relationship TargetMode="External" Target="https://www.legis.iowa.gov/docs/iac/rule/567.101.704.pdf" Type="http://schemas.openxmlformats.org/officeDocument/2006/relationships/hyperlink" Id="rId16"/>
    <Relationship TargetMode="External" Target="https://www.legis.iowa.gov/docs/iac/rule/567.101.705.pdf" Type="http://schemas.openxmlformats.org/officeDocument/2006/relationships/hyperlink" Id="rId17"/>
    <Relationship TargetMode="External" Target="https://www.legis.iowa.gov/docs/ico/chapter/455B.306.pdf" Type="http://schemas.openxmlformats.org/officeDocument/2006/relationships/hyperlink" Id="rId18"/>
    <Relationship TargetMode="External" Target="https://www.legis.iowa.gov/docs/iac/rule/567.101.707.pdf" Type="http://schemas.openxmlformats.org/officeDocument/2006/relationships/hyperlink" Id="rId19"/>
    <Relationship TargetMode="External" Target="https://www.legis.iowa.gov/docs/ico/chapter/455B.306.pdf" Type="http://schemas.openxmlformats.org/officeDocument/2006/relationships/hyperlink" Id="rId20"/>
    <Relationship TargetMode="External" Target="https://www.legis.iowa.gov/docs/iac/rule/567.101.709.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