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567—101.706</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corrective action at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101.706(1)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required to undertake corrective action must have a detailed written estimate, in current dollars, certified by an Iowa-licensed professional engineer, of the cost of hiring a third party to perform the required corrective action. The cost estimate must account for the total cost of conducting the activities described in the corrective action plan for the entire corrective action period. The owner or operator must submit to the department for approval the cost estimate and financial assurance documentation prior to implementation of the corrective action remedy. Proof of continued compliance pursuant to </w:t>
      </w:r>
      <w:hyperlink r:id="rId4">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101.706(2)</w:t>
        </w:r>
      </w:hyperlink>
      <w:r>
        <w:rPr>
          <w:rFonts w:ascii="Times New Roman" w:hAnsi="Times New Roman"/>
          <w:b w:val="false"/>
          <w:i w:val="false"/>
          <w:color w:val="000000"/>
          <w:sz w:val="22"/>
        </w:rPr>
        <w:t xml:space="preserve"> shall be submitted to the department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on a form prescribed by the department, the amount of the financial assurance required to complete the corrective action remedy and the current value of the financial assurance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for up to three consecutive years, have an Iowa-licensed professional engineer adjust the certified corrective action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three consecutive years of applying the inflation factor, the owner or operator shall again submit a detailed written estimate, in current dollars, certified by an Iowa-licensed professional engineer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increase the detailed written corrective action cost estimate and update the amount of financial assurance provided if changes in the corrective action remedy or sanitary landfill conditions increase the maximum cost of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the cost estimate and the amount of financial assurance provided if the cost estimate exceeds the maximum remaining costs of the remaining corrective action. Prior to the reduction, the owner or operator must submit to the department the justification for the reduction of the corrective action cost estimate and the updated documentation required by </w:t>
      </w:r>
      <w:hyperlink r:id="rId6">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101.706(2)</w:t>
        </w:r>
      </w:hyperlink>
      <w:r>
        <w:rPr>
          <w:rFonts w:ascii="Times New Roman" w:hAnsi="Times New Roman"/>
          <w:b w:val="false"/>
          <w:i w:val="false"/>
          <w:color w:val="000000"/>
          <w:sz w:val="22"/>
        </w:rPr>
        <w:t xml:space="preserve"> and receive department approval for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sanitary landfill required to undertake corrective action must establish financial assurance for the corrective action remedy by one of the instruments prescribed in </w:t>
      </w:r>
      <w:hyperlink r:id="rId8">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The owner or operator must provide continuous coverage for corrective action until released from financial assurance requirements by demonstrating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corrective action remedy, the owner or operator must submit to the department a certification of compliance with the corrective action plan. The certification must be signed by the owner or operator and by a qualified groundwater scientist.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department approval of completion of the corrective action remedy, the owner or operator shall be released from the requirement for financial assurance for corrective action pursuant to </w:t>
      </w:r>
      <w:hyperlink r:id="rId9">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06.pdf" Type="http://schemas.openxmlformats.org/officeDocument/2006/relationships/hyperlink" Id="rId4"/>
    <Relationship TargetMode="External" Target="https://www.legis.iowa.gov/docs/iac/rule/567.101.706.pdf" Type="http://schemas.openxmlformats.org/officeDocument/2006/relationships/hyperlink" Id="rId5"/>
    <Relationship TargetMode="External" Target="https://www.legis.iowa.gov/docs/iac/rule/567.101.706.pdf" Type="http://schemas.openxmlformats.org/officeDocument/2006/relationships/hyperlink" Id="rId6"/>
    <Relationship TargetMode="External" Target="https://www.legis.iowa.gov/docs/iac/rule/567.101.706.pdf" Type="http://schemas.openxmlformats.org/officeDocument/2006/relationships/hyperlink" Id="rId7"/>
    <Relationship TargetMode="External" Target="https://www.legis.iowa.gov/docs/iac/rule/567.101.707.pdf" Type="http://schemas.openxmlformats.org/officeDocument/2006/relationships/hyperlink" Id="rId8"/>
    <Relationship TargetMode="External" Target="https://www.legis.iowa.gov/docs/iac/rule/567.101.7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