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567—101.705</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for post-closure care of sanitary landfills. </w:t>
      </w:r>
      <w:r>
        <w:rPr>
          <w:rFonts w:ascii="Times New Roman" w:hAnsi="Times New Roman"/>
          <w:b w:val="false"/>
          <w:i w:val="false"/>
          <w:color w:val="000000"/>
          <w:sz w:val="22"/>
        </w:rPr>
        <w:t xml:space="preserve">The owner or operator of a sanitary landfill must establish financial assurance for the costs of post-closure care in accordance with the criteria in this division. The owner or operator must provide continuous coverage for post-closure care until released from this requirement by demonstrating compliance with the approved post-closure plan and the closure permit. Proof of compliance pursuant to </w:t>
      </w:r>
      <w:hyperlink r:id="rId4">
        <w:r>
          <w:rPr>
            <w:rStyle w:val="Hyperlink"/>
            <w:rFonts w:ascii="Times New Roman" w:hAnsi="Times New Roman"/>
            <w:b w:val="false"/>
            <w:i w:val="false"/>
            <w:color w:val="000000"/>
            <w:sz w:val="22"/>
          </w:rPr>
          <w:t>101.705(1)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101.705(5)</w:t>
        </w:r>
      </w:hyperlink>
      <w:r>
        <w:rPr>
          <w:rFonts w:ascii="Times New Roman" w:hAnsi="Times New Roman"/>
          <w:b w:val="false"/>
          <w:i w:val="false"/>
          <w:color w:val="000000"/>
          <w:sz w:val="22"/>
        </w:rPr>
        <w:t xml:space="preserve"> shall be submitted to the department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on a form prescribed by the department, the amount of the financial assurance required, the annual financial statement required by Iowa Code section </w:t>
      </w:r>
      <w:hyperlink r:id="rId6">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the current value of the financial assurance instrument(s) as required by Iowa Code section </w:t>
      </w:r>
      <w:hyperlink r:id="rId7">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the financial assurance instrument(s) in an amount equal to or greater than the amount specified in </w:t>
      </w:r>
      <w:hyperlink r:id="rId8">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Documentation for the instrument(s) used to demonstrate financial assurance shall contain, at a minimum, the items required to be submitted as specified in </w:t>
      </w:r>
      <w:hyperlink r:id="rId9">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except for the allowance granted in </w:t>
      </w:r>
      <w:hyperlink r:id="rId10">
        <w:r>
          <w:rPr>
            <w:rStyle w:val="Hyperlink"/>
            <w:rFonts w:ascii="Times New Roman" w:hAnsi="Times New Roman"/>
            <w:b w:val="false"/>
            <w:i w:val="false"/>
            <w:color w:val="000000"/>
            <w:sz w:val="22"/>
          </w:rPr>
          <w:t>101.705(3)</w:t>
        </w:r>
      </w:hyperlink>
      <w:r>
        <w:rPr>
          <w:rFonts w:ascii="Times New Roman" w:hAnsi="Times New Roman"/>
          <w:b w:val="false"/>
          <w:i/>
          <w:color w:val="000000"/>
          <w:sz w:val="22"/>
        </w:rPr>
        <w:t>“c,”</w:t>
      </w:r>
      <w:r>
        <w:rPr>
          <w:rFonts w:ascii="Times New Roman" w:hAnsi="Times New Roman"/>
          <w:b w:val="false"/>
          <w:i w:val="false"/>
          <w:color w:val="000000"/>
          <w:sz w:val="22"/>
        </w:rPr>
        <w:t xml:space="preserve"> submit a detailed written estimate, in current dollars, certified by an Iowa-licensed professional engineer, of the cost of hiring a third party to conduct post-closure care for the sanitary landfill in accordance with the approved post-closure plan and the closure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account for the total cost of conducting post-closure care, as described in the plan, for the entire post-closure care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estimate for post-closure care must be accurate and reasonable when compared to the cost estimates used by other similarly situated sanitary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active life of the sanitary landfill and during the post-closure care period, the owner or operator may, for the duration of the permit cycle or five years, whichever is less, have an Iowa-licensed professional engineer adjust the certified post-closure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applying the inflation factor for the duration of the permit cycle, or five years, whichever is less, the owner or operator shall again submit a detailed written estimate, in current dollars, certified by an Iowa-licensed professional engineer pursuant to </w:t>
      </w:r>
      <w:hyperlink r:id="rId11">
        <w:r>
          <w:rPr>
            <w:rStyle w:val="Hyperlink"/>
            <w:rFonts w:ascii="Times New Roman" w:hAnsi="Times New Roman"/>
            <w:b w:val="false"/>
            <w:i w:val="false"/>
            <w:color w:val="000000"/>
            <w:sz w:val="22"/>
          </w:rPr>
          <w:t>101.705(3)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modification, or due to other requirements that increase post-closure care costs, have an Iowa-licensed professional engineer increase the detailed written post-closure cost estimate and update the amount of financial assurance provided if changes in the post-closure plan or sanitary landfill conditions increase the cost of post-closure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post-closure care if the most recent estimate of post-closure care is less than the amount of financial assurance currently provided. Prior to the reduction, the owner or operator must submit to the department the justification for the reduction of the post-closure cost estimate and the updated documentation required by </w:t>
      </w:r>
      <w:hyperlink r:id="rId12">
        <w:r>
          <w:rPr>
            <w:rStyle w:val="Hyperlink"/>
            <w:rFonts w:ascii="Times New Roman" w:hAnsi="Times New Roman"/>
            <w:b w:val="false"/>
            <w:i w:val="false"/>
            <w:color w:val="000000"/>
            <w:sz w:val="22"/>
          </w:rPr>
          <w:t>101.705(1)</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101.705(5)</w:t>
        </w:r>
      </w:hyperlink>
      <w:r>
        <w:rPr>
          <w:rFonts w:ascii="Times New Roman" w:hAnsi="Times New Roman"/>
          <w:b w:val="false"/>
          <w:i w:val="false"/>
          <w:color w:val="000000"/>
          <w:sz w:val="22"/>
        </w:rPr>
        <w:t xml:space="preserve"> and receive department approval for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estimate submitted to the department must include the site area subject to post-closure care and account for at least the following factors determined by the department to be the minimal necessary costs for post-closure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site facilities, access roads, and fencing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 and vegetative cover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Drainage and erosion control systems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Groundwater to waste separation systems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Gas control systems maintenance,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Gas control systems monitoring and reports,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Groundwater and surface water monitoring systems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Groundwater and surface water quality monitoring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Groundwater monitoring systems performance evaluations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Leachate control systems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Leachate management, transportation,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Leachate control systems performance evaluations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Facility inspections and technical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Financial assurance, accounting, audits,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publicly owned sanitary landfills, the owner or operator shall submit to the department a copy of the owner’s or operator’s most recent annual audit report in the form prescribed by the office of the auditor of the state of Iowa. In addition to the annual audit report, the owner or operator of a publicly owned sanitary landfill may submit financial institution statements to document the current balance of a trust fund or local government dedicated fund established pursuant to </w:t>
      </w:r>
      <w:hyperlink r:id="rId14">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101.707(9)</w:t>
        </w:r>
      </w:hyperlink>
      <w:r>
        <w:rPr>
          <w:rFonts w:ascii="Times New Roman" w:hAnsi="Times New Roman"/>
          <w:b w:val="false"/>
          <w:i w:val="false"/>
          <w:color w:val="000000"/>
          <w:sz w:val="22"/>
        </w:rPr>
        <w:t xml:space="preserve">, or the closure and post-closure care account(s) pursuant to </w:t>
      </w:r>
      <w:hyperlink r:id="rId16">
        <w:r>
          <w:rPr>
            <w:rStyle w:val="Hyperlink"/>
            <w:rFonts w:ascii="Times New Roman" w:hAnsi="Times New Roman"/>
            <w:b w:val="false"/>
            <w:i w:val="false"/>
            <w:color w:val="000000"/>
            <w:sz w:val="22"/>
          </w:rPr>
          <w:t>567—101.709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101.705(5)</w:t>
      </w:r>
      <w:r>
        <w:rPr>
          <w:rFonts w:ascii="Times New Roman" w:hAnsi="Times New Roman"/>
          <w:b w:val="false"/>
          <w:i w:val="false"/>
          <w:color w:val="000000"/>
          <w:sz w:val="22"/>
        </w:rPr>
        <w:t> </w:t>
      </w:r>
      <w:r>
        <w:rPr>
          <w:rFonts w:ascii="Times New Roman" w:hAnsi="Times New Roman"/>
          <w:b w:val="false"/>
          <w:i w:val="false"/>
          <w:color w:val="000000"/>
          <w:sz w:val="22"/>
        </w:rPr>
        <w:t>Privately owned sanitary landfills shall submit an affidavit from the owner or operator indicating that a yearly review has been performed by an Iowa-licensed certified public accountant to determine whether the privately owned sanitary landfill is in compliance with this division. The affidavit shall state the name of the Iowa-licensed certified public accountant, the dates and conclusions of the review, and the steps taken to rectify any deficiencies identified by the accountant.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705.pdf" Type="http://schemas.openxmlformats.org/officeDocument/2006/relationships/hyperlink" Id="rId4"/>
    <Relationship TargetMode="External" Target="https://www.legis.iowa.gov/docs/iac/rule/567.101.705.pdf" Type="http://schemas.openxmlformats.org/officeDocument/2006/relationships/hyperlink" Id="rId5"/>
    <Relationship TargetMode="External" Target="https://www.legis.iowa.gov/docs/ico/chapter/455B.306.pdf" Type="http://schemas.openxmlformats.org/officeDocument/2006/relationships/hyperlink" Id="rId6"/>
    <Relationship TargetMode="External" Target="https://www.legis.iowa.gov/docs/ico/chapter/455B.306.pdf" Type="http://schemas.openxmlformats.org/officeDocument/2006/relationships/hyperlink" Id="rId7"/>
    <Relationship TargetMode="External" Target="https://www.legis.iowa.gov/docs/iac/rule/567.101.710.pdf" Type="http://schemas.openxmlformats.org/officeDocument/2006/relationships/hyperlink" Id="rId8"/>
    <Relationship TargetMode="External" Target="https://www.legis.iowa.gov/docs/iac/rule/567.101.707.pdf" Type="http://schemas.openxmlformats.org/officeDocument/2006/relationships/hyperlink" Id="rId9"/>
    <Relationship TargetMode="External" Target="https://www.legis.iowa.gov/docs/iac/rule/567.101.705.pdf" Type="http://schemas.openxmlformats.org/officeDocument/2006/relationships/hyperlink" Id="rId10"/>
    <Relationship TargetMode="External" Target="https://www.legis.iowa.gov/docs/iac/rule/567.101.705.pdf" Type="http://schemas.openxmlformats.org/officeDocument/2006/relationships/hyperlink" Id="rId11"/>
    <Relationship TargetMode="External" Target="https://www.legis.iowa.gov/docs/iac/rule/567.101.705.pdf" Type="http://schemas.openxmlformats.org/officeDocument/2006/relationships/hyperlink" Id="rId12"/>
    <Relationship TargetMode="External" Target="https://www.legis.iowa.gov/docs/iac/rule/567.101.705.pdf" Type="http://schemas.openxmlformats.org/officeDocument/2006/relationships/hyperlink" Id="rId13"/>
    <Relationship TargetMode="External" Target="https://www.legis.iowa.gov/docs/iac/rule/567.101.707.pdf" Type="http://schemas.openxmlformats.org/officeDocument/2006/relationships/hyperlink" Id="rId14"/>
    <Relationship TargetMode="External" Target="https://www.legis.iowa.gov/docs/iac/rule/567.101.707.pdf" Type="http://schemas.openxmlformats.org/officeDocument/2006/relationships/hyperlink" Id="rId15"/>
    <Relationship TargetMode="External" Target="https://www.legis.iowa.gov/docs/iac/rule/567.101.709.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