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101.701(1)</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division apply to all owners and operators of sanitary disposal projects, except owners or operators who are state or federal government entities, whose debts and liabilities are the debts and liabilities of a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101.701(2)</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municipal solid waste sanitary landfills regulated pursuant to Division II of this chapter that ceased accepting solid waste by August 24, 1994, nor to industrial sanitary landfills and coal combustion residual sanitary landfills regulated pursuant to Divisions III and IV of this chapter, respectively, that ceased accepting waste by October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101.701(3)</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sanitary disposal projects that are not sanitary landfills and that have completed proper site closure nor to sanitary landfills that have completed post-closure care obligations prior to September 23,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101.701(4)</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