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567—101.503</w:t>
      </w:r>
      <w:r>
        <w:rPr>
          <w:rFonts w:ascii="Times New Roman" w:hAnsi="Times New Roman"/>
          <w:b/>
          <w:i w:val="false"/>
          <w:color w:val="000000"/>
          <w:sz w:val="22"/>
        </w:rPr>
        <w:t xml:space="preserve">(455B) </w:t>
      </w:r>
      <w:r>
        <w:rPr>
          <w:rFonts w:ascii="Times New Roman" w:hAnsi="Times New Roman"/>
          <w:b/>
          <w:i w:val="false"/>
          <w:color w:val="000000"/>
          <w:sz w:val="22"/>
        </w:rPr>
        <w:t xml:space="preserve">Discipline of certified operators.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101.503(1)</w:t>
      </w:r>
      <w:r>
        <w:rPr>
          <w:rFonts w:ascii="Times New Roman" w:hAnsi="Times New Roman"/>
          <w:b w:val="false"/>
          <w:i w:val="false"/>
          <w:color w:val="000000"/>
          <w:sz w:val="22"/>
        </w:rPr>
        <w:t> </w:t>
      </w:r>
      <w:r>
        <w:rPr>
          <w:rFonts w:ascii="Times New Roman" w:hAnsi="Times New Roman"/>
          <w:b w:val="false"/>
          <w:i w:val="false"/>
          <w:color w:val="000000"/>
          <w:sz w:val="22"/>
        </w:rPr>
        <w:t>Disciplinary action may be taken 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use reasonable care or judgment or to apply knowledge or ability in performing the duties of a certified operator. Duties of certified operators include compliance with rules and permit conditions applicable to solid waste incinerator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records of operation or other reports required under applicable permits or rules of the department, including failure to submit complete records or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Knowingly making any false statement, representation, or certification on any application, record, report, or document required to be maintained or submitted under any applicable permit or rule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101.503(2)</w:t>
      </w:r>
      <w:r>
        <w:rPr>
          <w:rFonts w:ascii="Times New Roman" w:hAnsi="Times New Roman"/>
          <w:b w:val="false"/>
          <w:i w:val="false"/>
          <w:color w:val="000000"/>
          <w:sz w:val="22"/>
        </w:rPr>
        <w:t> </w:t>
      </w:r>
      <w:r>
        <w:rPr>
          <w:rFonts w:ascii="Times New Roman" w:hAnsi="Times New Roman"/>
          <w:b w:val="false"/>
          <w:i w:val="false"/>
          <w:color w:val="000000"/>
          <w:sz w:val="22"/>
        </w:rPr>
        <w:t>The following disciplinary sanctions are allowable.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Revocation of a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Probation under specified conditions relevant to the specific grounds for disciplinary action. Additional education or training or reexamination may be required as a condition of probation.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101.503(3)</w:t>
      </w:r>
      <w:r>
        <w:rPr>
          <w:rFonts w:ascii="Times New Roman" w:hAnsi="Times New Roman"/>
          <w:b w:val="false"/>
          <w:i w:val="false"/>
          <w:color w:val="000000"/>
          <w:sz w:val="22"/>
        </w:rPr>
        <w:t> </w:t>
      </w:r>
      <w:r>
        <w:rPr>
          <w:rFonts w:ascii="Times New Roman" w:hAnsi="Times New Roman"/>
          <w:b w:val="false"/>
          <w:i w:val="false"/>
          <w:color w:val="000000"/>
          <w:sz w:val="22"/>
        </w:rPr>
        <w:t>The procedure for discipline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initiate disciplinary action. The commission may direct that the department investigate any alleged factual situation that may be grounds for disciplinary action under </w:t>
      </w:r>
      <w:hyperlink r:id="rId4">
        <w:r>
          <w:rPr>
            <w:rStyle w:val="Hyperlink"/>
            <w:rFonts w:ascii="Times New Roman" w:hAnsi="Times New Roman"/>
            <w:b w:val="false"/>
            <w:i w:val="false"/>
            <w:color w:val="000000"/>
            <w:sz w:val="22"/>
          </w:rPr>
          <w:t>101.503(1)</w:t>
        </w:r>
      </w:hyperlink>
      <w:r>
        <w:rPr>
          <w:rFonts w:ascii="Times New Roman" w:hAnsi="Times New Roman"/>
          <w:b w:val="false"/>
          <w:i w:val="false"/>
          <w:color w:val="000000"/>
          <w:sz w:val="22"/>
        </w:rPr>
        <w:t xml:space="preserve"> and report the results of the investigation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disciplinary action may be prosecuted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notice shall be given to an operator against whom disciplinary action is being considered and, as appropriate, to the responsible official of the permitted solid waste incinerator. The notice shall state the informal and formal procedures available for determining the matter. The operator shall be given 20 days to present any relevant facts and indicate the operator’s position in the matter and to indicate whether informal resolution of the matter may be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operator who receives notice shall communicate in writing or in person with the department, and efforts shall be made to clarify the respective positions of the operator and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applicant’s failure to communicate facts and positions relevant to the matter by the required date may be considered when appropriate disciplinary action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agreement as to appropriate disciplinary sanction, if any, can be reached with the operator and the commission concurs, a written stipulation and settlement between the department and the operator shall be entered into. The stipulation and settlement shall recite the basic facts and violations alleged, any facts brought forth by the operator, and the reasons for the particular sanctions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agreement as to appropriate disciplinary action, if any, cannot be reached, the department may initiate formal hearing procedures. Notice and formal hearing shall be in accordance with </w:t>
      </w:r>
      <w:hyperlink r:id="rId5">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561—Chapter 2506</w:t>
        </w:r>
      </w:hyperlink>
      <w:r>
        <w:rPr>
          <w:rFonts w:ascii="Times New Roman" w:hAnsi="Times New Roman"/>
          <w:b w:val="false"/>
          <w:i w:val="false"/>
          <w:color w:val="000000"/>
          <w:sz w:val="22"/>
        </w:rPr>
        <w:t xml:space="preserve"> related to contested and certain other cases pertaining to licensee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101.503(4)</w:t>
      </w:r>
      <w:r>
        <w:rPr>
          <w:rFonts w:ascii="Times New Roman" w:hAnsi="Times New Roman"/>
          <w:b w:val="false"/>
          <w:i w:val="false"/>
          <w:color w:val="000000"/>
          <w:sz w:val="22"/>
        </w:rPr>
        <w:t> </w:t>
      </w:r>
      <w:r>
        <w:rPr>
          <w:rFonts w:ascii="Times New Roman" w:hAnsi="Times New Roman"/>
          <w:b w:val="false"/>
          <w:i w:val="false"/>
          <w:color w:val="000000"/>
          <w:sz w:val="22"/>
        </w:rPr>
        <w:t>Upon revocation of a certificate, application for certification may be allowed after two years from the date of revocation. Any such applicant must successfully complete the examination and be certified in the same manner as a new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1.503.pdf" Type="http://schemas.openxmlformats.org/officeDocument/2006/relationships/hyperlink" Id="rId4"/>
    <Relationship TargetMode="External" Target="https://www.legis.iowa.gov/docs/iac/chapter/7.2506.pdf" Type="http://schemas.openxmlformats.org/officeDocument/2006/relationships/hyperlink" Id="rId5"/>
    <Relationship TargetMode="External" Target="https://www.legis.iowa.gov/docs/iac/chapter/561.250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