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567—101.5</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Applications and construction requirements. </w:t>
      </w:r>
      <w:r>
        <w:rPr>
          <w:rFonts w:ascii="Times New Roman" w:hAnsi="Times New Roman"/>
          <w:b w:val="false"/>
          <w:i w:val="false"/>
          <w:color w:val="000000"/>
          <w:sz w:val="22"/>
        </w:rPr>
        <w:t xml:space="preserve">Unless otherwise authorized by the department, a permit applicant shall submit on a form prescribed by the department, and shall provide evidence demonstrating how the landfill will comply with the requirements in </w:t>
      </w:r>
      <w:hyperlink r:id="rId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the following general requirements, and any requirements specified in the applicable division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color w:val="000000"/>
          <w:sz w:val="22"/>
        </w:rPr>
        <w:t xml:space="preserve">Local siting approval. </w:t>
      </w:r>
      <w:r>
        <w:rPr>
          <w:rFonts w:ascii="Times New Roman" w:hAnsi="Times New Roman"/>
          <w:b w:val="false"/>
          <w:i w:val="false"/>
          <w:color w:val="000000"/>
          <w:sz w:val="22"/>
        </w:rPr>
        <w:t xml:space="preserve">Documentation that local siting approval pursuant to Iowa Code section </w:t>
      </w:r>
      <w:hyperlink r:id="rId5">
        <w:r>
          <w:rPr>
            <w:rStyle w:val="Hyperlink"/>
            <w:rFonts w:ascii="Times New Roman" w:hAnsi="Times New Roman"/>
            <w:b w:val="false"/>
            <w:i w:val="false"/>
            <w:color w:val="000000"/>
            <w:sz w:val="22"/>
          </w:rPr>
          <w:t>455B.305A</w:t>
        </w:r>
      </w:hyperlink>
      <w:r>
        <w:rPr>
          <w:rFonts w:ascii="Times New Roman" w:hAnsi="Times New Roman"/>
          <w:b w:val="false"/>
          <w:i w:val="false"/>
          <w:color w:val="000000"/>
          <w:sz w:val="22"/>
        </w:rPr>
        <w:t>, if applicable,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color w:val="000000"/>
          <w:sz w:val="22"/>
        </w:rPr>
        <w:t xml:space="preserve">Separation from groundwater. </w:t>
      </w:r>
      <w:r>
        <w:rPr>
          <w:rFonts w:ascii="Times New Roman" w:hAnsi="Times New Roman"/>
          <w:b w:val="false"/>
          <w:i w:val="false"/>
          <w:color w:val="000000"/>
          <w:sz w:val="22"/>
        </w:rPr>
        <w:t>The base of a sanitary landfill unit shall be situated so that the base of the waste within the proposed unit is at least five feet above the high water table unless a greater separation is required to ensure that there will be no significant adverse effect on groundwater or surface waters or a lesser separation is unlikely to have a significant adverse effect on groundwater or surface waters. Artificial means of lowering the high water table are acceptable. The separation of the base of a sanitary landfill unit from the high water table shall be measured and maintained in a manner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color w:val="000000"/>
          <w:sz w:val="22"/>
        </w:rPr>
        <w:t xml:space="preserve">Wells. </w:t>
      </w:r>
      <w:r>
        <w:rPr>
          <w:rFonts w:ascii="Times New Roman" w:hAnsi="Times New Roman"/>
          <w:b w:val="false"/>
          <w:i w:val="false"/>
          <w:color w:val="000000"/>
          <w:sz w:val="22"/>
        </w:rPr>
        <w:t>A sanitary landfill unit shall not be within 1,000 feet of any water well in existence at the time of receipt of the original permit application or application to laterally expand the permitted sanitary landfill unit for the facility. Groundwater monitoring wells are exempt from this requirement. The department may also exempt extraction wells utilized as part of a remediation system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color w:val="000000"/>
          <w:sz w:val="22"/>
        </w:rPr>
        <w:t xml:space="preserve">Floodplains. </w:t>
      </w:r>
      <w:r>
        <w:rPr>
          <w:rFonts w:ascii="Times New Roman" w:hAnsi="Times New Roman"/>
          <w:b w:val="false"/>
          <w:i w:val="false"/>
          <w:color w:val="000000"/>
          <w:sz w:val="22"/>
        </w:rPr>
        <w:t xml:space="preserve">New sanitary landfill units or lateral expansions shall not be located in a 100-year floodplain. Existing sanitary landfills located in 100-year floodplains must demonstrate to the department that the unit will not restrict the flow of a 100-year flood, reduce the temporary water storage capacity of the floodplain, or result in washout of solid waste so as to pose a hazard to human health and the environment. The owner or operator must place the demonstration in the operating record and submit a copy of the demonstration to the department. For purposes of this subrule, the definitions for floodplain, 100-year flood, and washout are the same as defined in </w:t>
      </w:r>
      <w:r>
        <w:rPr>
          <w:rFonts w:ascii="Times New Roman" w:hAnsi="Times New Roman"/>
          <w:b w:val="false"/>
          <w:i w:val="false"/>
          <w:color w:val="000000"/>
          <w:sz w:val="22"/>
        </w:rPr>
        <w:t>40 CFR 258.11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0.pdf" Type="http://schemas.openxmlformats.org/officeDocument/2006/relationships/hyperlink" Id="rId4"/>
    <Relationship TargetMode="External" Target="https://www.legis.iowa.gov/docs/ico/chapter/455B.305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