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567—101.413</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requirements. </w:t>
      </w:r>
      <w:r>
        <w:rPr>
          <w:rFonts w:ascii="Times New Roman" w:hAnsi="Times New Roman"/>
          <w:b w:val="false"/>
          <w:i w:val="false"/>
          <w:color w:val="000000"/>
          <w:sz w:val="22"/>
        </w:rPr>
        <w:t>The owner or operator of a solid waste transfer station must establish financial assurance for the costs of site closure in accordance with the criteria pursuant to this rule and Division VIII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
        <w:r>
          <w:rPr>
            <w:rStyle w:val="Hyperlink"/>
            <w:rFonts w:ascii="Times New Roman" w:hAnsi="Times New Roman"/>
            <w:b w:val="false"/>
            <w:i w:val="false"/>
            <w:color w:val="000000"/>
            <w:sz w:val="22"/>
          </w:rPr>
          <w:t>101.413(3)</w:t>
        </w:r>
      </w:hyperlink>
      <w:r>
        <w:rPr>
          <w:rFonts w:ascii="Times New Roman" w:hAnsi="Times New Roman"/>
          <w:b w:val="false"/>
          <w:i w:val="false"/>
          <w:color w:val="000000"/>
          <w:sz w:val="22"/>
        </w:rPr>
        <w:t xml:space="preserve">, the owner or operator shall submit a detailed written estimate, in current dollars, certified by an Iowa-licensed professional engineer, of the cost of hiring a third party to properly close the solid waste transfer station in accordance with the closure criteria in </w:t>
      </w:r>
      <w:hyperlink r:id="rId5">
        <w:r>
          <w:rPr>
            <w:rStyle w:val="Hyperlink"/>
            <w:rFonts w:ascii="Times New Roman" w:hAnsi="Times New Roman"/>
            <w:b w:val="false"/>
            <w:i w:val="false"/>
            <w:color w:val="000000"/>
            <w:sz w:val="22"/>
          </w:rPr>
          <w:t>567—101.411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101.413(2)</w:t>
      </w:r>
      <w:r>
        <w:rPr>
          <w:rFonts w:ascii="Times New Roman" w:hAnsi="Times New Roman"/>
          <w:b w:val="false"/>
          <w:i w:val="false"/>
          <w:color w:val="000000"/>
          <w:sz w:val="22"/>
        </w:rPr>
        <w:t> </w:t>
      </w:r>
      <w:r>
        <w:rPr>
          <w:rFonts w:ascii="Times New Roman" w:hAnsi="Times New Roman"/>
          <w:b w:val="false"/>
          <w:i w:val="false"/>
          <w:color w:val="000000"/>
          <w:sz w:val="22"/>
        </w:rPr>
        <w:t>The detailed written estimate shall account for at least the following factors determined by the department to be minimal necessary costs for site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total tip fees to properly dispose of all solid waste and litter at the facility equal to twice the maximum storage capacity of the facility. If materials are temporarily stored on site in solid waste collection or transport vehicles or waste receptacles, then this estimate shall include disposal costs for the maximum number of solid waste collection or transport vehicles and waste receptacles that can be on site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hiring a third party to properly clean and decontaminate all equipment, storage facilities, holding areas and drainage collection systems. This estimate shall include the cost of properly disposing of a one-week volume of washwater from the facility. If the facility utilizes a washwater storage tank, then this estimate shall assume that the storage tank is full and add that volume to the one-week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 associated in maintaining financial assurance pursuant to this rule and Division VIII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solid waste transfer station that is permitted for or manages no more than 5,000 tons of solid waste annually shall have the option to comply with the financial assurance requirements of this rule and Division VIII of this chapter by executing a surety bond in the sum of $15,000 pursuant to </w:t>
      </w:r>
      <w:hyperlink r:id="rId6">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 xml:space="preserve">. In electing this option, the owner or operator shall not be required to submit a detailed written cost estimate for site closure pursuant to </w:t>
      </w:r>
      <w:hyperlink r:id="rId7">
        <w:r>
          <w:rPr>
            <w:rStyle w:val="Hyperlink"/>
            <w:rFonts w:ascii="Times New Roman" w:hAnsi="Times New Roman"/>
            <w:b w:val="false"/>
            <w:i w:val="false"/>
            <w:color w:val="000000"/>
            <w:sz w:val="22"/>
          </w:rPr>
          <w:t>101.413(1)</w:t>
        </w:r>
      </w:hyperlink>
      <w:r>
        <w:rPr>
          <w:rFonts w:ascii="Times New Roman" w:hAnsi="Times New Roman"/>
          <w:b w:val="false"/>
          <w:i w:val="false"/>
          <w:color w:val="000000"/>
          <w:sz w:val="22"/>
        </w:rPr>
        <w:t>. This surety bond shall be unique to the solid waste transfer station and shall not be combined or used to meet the financial assurance obligations of any other permitted facility or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413.pdf" Type="http://schemas.openxmlformats.org/officeDocument/2006/relationships/hyperlink" Id="rId4"/>
    <Relationship TargetMode="External" Target="https://www.legis.iowa.gov/docs/iac/rule/567.101.411.pdf" Type="http://schemas.openxmlformats.org/officeDocument/2006/relationships/hyperlink" Id="rId5"/>
    <Relationship TargetMode="External" Target="https://www.legis.iowa.gov/docs/iac/rule/567.101.707.pdf" Type="http://schemas.openxmlformats.org/officeDocument/2006/relationships/hyperlink" Id="rId6"/>
    <Relationship TargetMode="External" Target="https://www.legis.iowa.gov/docs/iac/rule/567.101.41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