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567—101.412</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solid waste transfer permit. </w:t>
      </w:r>
      <w:r>
        <w:rPr>
          <w:rFonts w:ascii="Times New Roman" w:hAnsi="Times New Roman"/>
          <w:b w:val="false"/>
          <w:i w:val="false"/>
          <w:color w:val="000000"/>
          <w:sz w:val="22"/>
        </w:rPr>
        <w:t>If a primary sanitary disposal project in a solid waste comprehensive planning area becomes inoperable, the department may issue an emergency solid waste transfer permit for a period of time no longer than necessary for a sanitary disposal project that provides replacement capacity to be constructed and become operational. The department may also issue an emergency solid waste transfer permit for a period of time no longer than necessary for a sanitary disposal project to return to operation or if more solid waste is produced by an extraordinary event (e.g., unforeseen disasters such as storms, fires, floods, tornadoes) than can be managed by a sanitary disposal project. The conditions of an emergency solid waste transfer permit shall be determined by the department and may be used as an alternative to the requirements of this division. The department shall issue an emergency solid waste transfer permit only if the department has determined that solid waste must be transferred from the impacted area(s) in order to protect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