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567—101.407</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requirements. </w:t>
      </w:r>
      <w:r>
        <w:rPr>
          <w:rFonts w:ascii="Times New Roman" w:hAnsi="Times New Roman"/>
          <w:b w:val="false"/>
          <w:i w:val="false"/>
          <w:color w:val="000000"/>
          <w:sz w:val="22"/>
        </w:rPr>
        <w:t xml:space="preserve">Unless otherwise specified within a permit, a solid waste transfer station shall be operated in accordance with the provisions of </w:t>
      </w:r>
      <w:hyperlink r:id="rId4">
        <w:r>
          <w:rPr>
            <w:rStyle w:val="Hyperlink"/>
            <w:rFonts w:ascii="Times New Roman" w:hAnsi="Times New Roman"/>
            <w:b w:val="false"/>
            <w:i w:val="false"/>
            <w:color w:val="000000"/>
            <w:sz w:val="22"/>
          </w:rPr>
          <w:t>567—100.9</w:t>
        </w:r>
      </w:hyperlink>
      <w:r>
        <w:rPr>
          <w:rFonts w:ascii="Times New Roman" w:hAnsi="Times New Roman"/>
          <w:b w:val="false"/>
          <w:i w:val="false"/>
          <w:color w:val="000000"/>
          <w:sz w:val="22"/>
        </w:rPr>
        <w:t>(455B,455D)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registered pursuant to </w:t>
      </w:r>
      <w:hyperlink r:id="rId5">
        <w:r>
          <w:rPr>
            <w:rStyle w:val="Hyperlink"/>
            <w:rFonts w:ascii="Times New Roman" w:hAnsi="Times New Roman"/>
            <w:b w:val="false"/>
            <w:i w:val="false"/>
            <w:color w:val="000000"/>
            <w:sz w:val="22"/>
          </w:rPr>
          <w:t>567—101.404</w:t>
        </w:r>
      </w:hyperlink>
      <w:r>
        <w:rPr>
          <w:rFonts w:ascii="Times New Roman" w:hAnsi="Times New Roman"/>
          <w:b w:val="false"/>
          <w:i w:val="false"/>
          <w:color w:val="000000"/>
          <w:sz w:val="22"/>
        </w:rPr>
        <w:t>(455B), all handling, processing, screening, open storage, loading, and similar activities or processes involving solid waste shall be performed inside the solid waste transfer station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101.407(2)</w:t>
      </w:r>
      <w:r>
        <w:rPr>
          <w:rFonts w:ascii="Times New Roman" w:hAnsi="Times New Roman"/>
          <w:b w:val="false"/>
          <w:i w:val="false"/>
          <w:color w:val="000000"/>
          <w:sz w:val="22"/>
        </w:rPr>
        <w:t> </w:t>
      </w:r>
      <w:r>
        <w:rPr>
          <w:rFonts w:ascii="Times New Roman" w:hAnsi="Times New Roman"/>
          <w:b w:val="false"/>
          <w:i w:val="false"/>
          <w:color w:val="000000"/>
          <w:sz w:val="22"/>
        </w:rPr>
        <w:t>Truck-to-truck transfer of solid waste that is not incidental solid waste transfer is not allowed outside a solid waste transfer station building. A rear-loading solid waste transport vehicle that does not have any other open access and securely abuts the solid waste transfer station building so that minimal amounts of solid waste escape during loading shall qualify as being inside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101.407(3)</w:t>
      </w:r>
      <w:r>
        <w:rPr>
          <w:rFonts w:ascii="Times New Roman" w:hAnsi="Times New Roman"/>
          <w:b w:val="false"/>
          <w:i w:val="false"/>
          <w:color w:val="000000"/>
          <w:sz w:val="22"/>
        </w:rPr>
        <w:t> </w:t>
      </w:r>
      <w:r>
        <w:rPr>
          <w:rFonts w:ascii="Times New Roman" w:hAnsi="Times New Roman"/>
          <w:b w:val="false"/>
          <w:i w:val="false"/>
          <w:color w:val="000000"/>
          <w:sz w:val="22"/>
        </w:rPr>
        <w:t>Solid waste transfer station operators shall segregate and manage unacceptable wastes and hot loads in accordance with applicable laws and in a manner as safe and responsible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101.407(4)</w:t>
      </w:r>
      <w:r>
        <w:rPr>
          <w:rFonts w:ascii="Times New Roman" w:hAnsi="Times New Roman"/>
          <w:b w:val="false"/>
          <w:i w:val="false"/>
          <w:color w:val="000000"/>
          <w:sz w:val="22"/>
        </w:rPr>
        <w:t> </w:t>
      </w:r>
      <w:r>
        <w:rPr>
          <w:rFonts w:ascii="Times New Roman" w:hAnsi="Times New Roman"/>
          <w:b w:val="false"/>
          <w:i w:val="false"/>
          <w:color w:val="000000"/>
          <w:sz w:val="22"/>
        </w:rPr>
        <w:t>Solid waste receptacles shall not be allowed to overflow, and the waste shall be removed as often as necessary to prevent a nuisance or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101.407(5)</w:t>
      </w:r>
      <w:r>
        <w:rPr>
          <w:rFonts w:ascii="Times New Roman" w:hAnsi="Times New Roman"/>
          <w:b w:val="false"/>
          <w:i w:val="false"/>
          <w:color w:val="000000"/>
          <w:sz w:val="22"/>
        </w:rPr>
        <w:t> </w:t>
      </w:r>
      <w:r>
        <w:rPr>
          <w:rFonts w:ascii="Times New Roman" w:hAnsi="Times New Roman"/>
          <w:b w:val="false"/>
          <w:i w:val="false"/>
          <w:color w:val="000000"/>
          <w:sz w:val="22"/>
        </w:rPr>
        <w:t xml:space="preserve">Solid waste transfer stations shall not accept special wastes pursuant to </w:t>
      </w:r>
      <w:hyperlink r:id="rId6">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Division VI.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101.407(6)</w:t>
      </w:r>
      <w:r>
        <w:rPr>
          <w:rFonts w:ascii="Times New Roman" w:hAnsi="Times New Roman"/>
          <w:b w:val="false"/>
          <w:i w:val="false"/>
          <w:color w:val="000000"/>
          <w:sz w:val="22"/>
        </w:rPr>
        <w:t> </w:t>
      </w:r>
      <w:r>
        <w:rPr>
          <w:rFonts w:ascii="Times New Roman" w:hAnsi="Times New Roman"/>
          <w:b w:val="false"/>
          <w:i w:val="false"/>
          <w:color w:val="000000"/>
          <w:sz w:val="22"/>
        </w:rPr>
        <w:t>Washwater management systems, if applicable, shall not be allowed to overflow and shall be inspected monthly and maintained in proper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101.407(7)</w:t>
      </w:r>
      <w:r>
        <w:rPr>
          <w:rFonts w:ascii="Times New Roman" w:hAnsi="Times New Roman"/>
          <w:b w:val="false"/>
          <w:i w:val="false"/>
          <w:color w:val="000000"/>
          <w:sz w:val="22"/>
        </w:rPr>
        <w:t> </w:t>
      </w:r>
      <w:r>
        <w:rPr>
          <w:rFonts w:ascii="Times New Roman" w:hAnsi="Times New Roman"/>
          <w:b w:val="false"/>
          <w:i w:val="false"/>
          <w:color w:val="000000"/>
          <w:sz w:val="22"/>
        </w:rPr>
        <w:t>Any breach of a surface that prevents washwater from entering the ground and groundwater shall be repaired within 24 hours to make that surface impervious to liquids. If such repairs cannot be made within 24 hours, the facility shall not allow solid waste or washwater to come into contact with the breached area until repairs are complete. If the facility cannot prevent solid waste or washwater from coming into contact with the breached area, the department may require the facility to shut down until repairs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101.407(8)</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registered pursuant to </w:t>
      </w:r>
      <w:hyperlink r:id="rId7">
        <w:r>
          <w:rPr>
            <w:rStyle w:val="Hyperlink"/>
            <w:rFonts w:ascii="Times New Roman" w:hAnsi="Times New Roman"/>
            <w:b w:val="false"/>
            <w:i w:val="false"/>
            <w:color w:val="000000"/>
            <w:sz w:val="22"/>
          </w:rPr>
          <w:t>567—101.404</w:t>
        </w:r>
      </w:hyperlink>
      <w:r>
        <w:rPr>
          <w:rFonts w:ascii="Times New Roman" w:hAnsi="Times New Roman"/>
          <w:b w:val="false"/>
          <w:i w:val="false"/>
          <w:color w:val="000000"/>
          <w:sz w:val="22"/>
        </w:rPr>
        <w:t>(455B), site access shall be controlled and limited to a time when a solid waste transfer station operator is on 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Has read, understands, and is able to implement the operational requirements of </w:t>
      </w:r>
      <w:hyperlink r:id="rId8">
        <w:r>
          <w:rPr>
            <w:rStyle w:val="Hyperlink"/>
            <w:rFonts w:ascii="Times New Roman" w:hAnsi="Times New Roman"/>
            <w:b w:val="false"/>
            <w:i w:val="false"/>
            <w:color w:val="000000"/>
            <w:sz w:val="22"/>
          </w:rPr>
          <w:t>567—101.407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Has read, understands, and is able to implement the emergency response and remedial action plan pursuant to </w:t>
      </w:r>
      <w:hyperlink r:id="rId9">
        <w:r>
          <w:rPr>
            <w:rStyle w:val="Hyperlink"/>
            <w:rFonts w:ascii="Times New Roman" w:hAnsi="Times New Roman"/>
            <w:b w:val="false"/>
            <w:i w:val="false"/>
            <w:color w:val="000000"/>
            <w:sz w:val="22"/>
          </w:rPr>
          <w:t>567—100.14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Is able to visually recognize universal symbols and markings and indications of unacceptable materials pursuant to </w:t>
      </w:r>
      <w:hyperlink r:id="rId10">
        <w:r>
          <w:rPr>
            <w:rStyle w:val="Hyperlink"/>
            <w:rFonts w:ascii="Times New Roman" w:hAnsi="Times New Roman"/>
            <w:b w:val="false"/>
            <w:i w:val="false"/>
            <w:color w:val="000000"/>
            <w:sz w:val="22"/>
          </w:rPr>
          <w:t>101.407(9)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101.407(9)</w:t>
      </w:r>
      <w:r>
        <w:rPr>
          <w:rFonts w:ascii="Times New Roman" w:hAnsi="Times New Roman"/>
          <w:b w:val="false"/>
          <w:i w:val="false"/>
          <w:color w:val="000000"/>
          <w:sz w:val="22"/>
        </w:rPr>
        <w:t> </w:t>
      </w:r>
      <w:r>
        <w:rPr>
          <w:rFonts w:ascii="Times New Roman" w:hAnsi="Times New Roman"/>
          <w:b w:val="false"/>
          <w:i w:val="false"/>
          <w:color w:val="000000"/>
          <w:sz w:val="22"/>
        </w:rPr>
        <w:t>All solid waste accepted by a solid waste transfer station shall, at a minimum, be visually inspected by personnel capable of identifying hot loads and hazardous, infectious, radioactive, and other wastes not acceptable for disposal in a sanitary landfill.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0.9.pdf" Type="http://schemas.openxmlformats.org/officeDocument/2006/relationships/hyperlink" Id="rId4"/>
    <Relationship TargetMode="External" Target="https://www.legis.iowa.gov/docs/iac/rule/567.101.404.pdf" Type="http://schemas.openxmlformats.org/officeDocument/2006/relationships/hyperlink" Id="rId5"/>
    <Relationship TargetMode="External" Target="https://www.legis.iowa.gov/docs/iac/chapter/567.102.pdf" Type="http://schemas.openxmlformats.org/officeDocument/2006/relationships/hyperlink" Id="rId6"/>
    <Relationship TargetMode="External" Target="https://www.legis.iowa.gov/docs/iac/rule/567.101.404.pdf" Type="http://schemas.openxmlformats.org/officeDocument/2006/relationships/hyperlink" Id="rId7"/>
    <Relationship TargetMode="External" Target="https://www.legis.iowa.gov/docs/iac/rule/567.101.407.pdf" Type="http://schemas.openxmlformats.org/officeDocument/2006/relationships/hyperlink" Id="rId8"/>
    <Relationship TargetMode="External" Target="https://www.legis.iowa.gov/docs/iac/rule/567.100.14.pdf" Type="http://schemas.openxmlformats.org/officeDocument/2006/relationships/hyperlink" Id="rId9"/>
    <Relationship TargetMode="External" Target="https://www.legis.iowa.gov/docs/iac/rule/567.101.407.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