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567—101.406</w:t>
      </w:r>
      <w:r>
        <w:rPr>
          <w:rFonts w:ascii="Times New Roman" w:hAnsi="Times New Roman"/>
          <w:b/>
          <w:i w:val="false"/>
          <w:color w:val="000000"/>
          <w:sz w:val="22"/>
        </w:rPr>
        <w:t xml:space="preserve">(455B) </w:t>
      </w:r>
      <w:r>
        <w:rPr>
          <w:rFonts w:ascii="Times New Roman" w:hAnsi="Times New Roman"/>
          <w:b/>
          <w:i w:val="false"/>
          <w:color w:val="000000"/>
          <w:sz w:val="22"/>
        </w:rPr>
        <w:t xml:space="preserve">Design requirements. </w:t>
      </w:r>
      <w:r>
        <w:rPr>
          <w:rFonts w:ascii="Times New Roman" w:hAnsi="Times New Roman"/>
          <w:b w:val="false"/>
          <w:i w:val="false"/>
          <w:color w:val="000000"/>
          <w:sz w:val="22"/>
        </w:rPr>
        <w:t xml:space="preserve">Unless registered pursuant to </w:t>
      </w:r>
      <w:hyperlink r:id="rId4">
        <w:r>
          <w:rPr>
            <w:rStyle w:val="Hyperlink"/>
            <w:rFonts w:ascii="Times New Roman" w:hAnsi="Times New Roman"/>
            <w:b w:val="false"/>
            <w:i w:val="false"/>
            <w:color w:val="000000"/>
            <w:sz w:val="22"/>
          </w:rPr>
          <w:t>567—101.404</w:t>
        </w:r>
      </w:hyperlink>
      <w:r>
        <w:rPr>
          <w:rFonts w:ascii="Times New Roman" w:hAnsi="Times New Roman"/>
          <w:b w:val="false"/>
          <w:i w:val="false"/>
          <w:color w:val="000000"/>
          <w:sz w:val="22"/>
        </w:rPr>
        <w:t>(455B) or otherwise specified within a permit, a solid waste transfer station shall be designed and constructed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101.406(1)</w:t>
      </w:r>
      <w:r>
        <w:rPr>
          <w:rFonts w:ascii="Times New Roman" w:hAnsi="Times New Roman"/>
          <w:b w:val="false"/>
          <w:i w:val="false"/>
          <w:color w:val="000000"/>
          <w:sz w:val="22"/>
        </w:rPr>
        <w:t> </w:t>
      </w:r>
      <w:r>
        <w:rPr>
          <w:rFonts w:ascii="Times New Roman" w:hAnsi="Times New Roman"/>
          <w:b w:val="false"/>
          <w:i/>
          <w:color w:val="000000"/>
          <w:sz w:val="22"/>
        </w:rPr>
        <w:t xml:space="preserve">Solid waste transfer station building. </w:t>
      </w:r>
      <w:r>
        <w:rPr>
          <w:rFonts w:ascii="Times New Roman" w:hAnsi="Times New Roman"/>
          <w:b w:val="false"/>
          <w:i w:val="false"/>
          <w:color w:val="000000"/>
          <w:sz w:val="22"/>
        </w:rPr>
        <w:t>A solid waste transfer station shall include a building inside which all solid waste is unloaded from solid waste collection vehicles and loaded into solid waste transport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surfaces that come into contact with solid waste shall be enclosed by walls and a roof satisfactory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Minimize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 litter from exiting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Keep precipitation out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Prevent the attraction or harboring of vectors.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surfaces that come in contact with solid waste or washwater shall be impervious to liquids.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solid waste transfer station building shall have a drainage system that maintains a separation between stormwater and washwater.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solid waste transfer station building shall have a washwater collection system that directs washwater to a storage tank for subsequent disposal, a sanitary sewer system, or equivalent as approved by the department. Unless otherwise approved by the department, storage tanks shall have high-level indicators or gauges.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area where unloaded solid waste is stored during nonoperating hours shall be clearly marked and include a fire detection system that notifies local emergency responders in case of a fire.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solid waste is to be managed or stored in a surge pit, then effective odor control mechanisms are required and a sprinkler system shall be installed over the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solid waste transfer station building shall have adequate indoor and outdoor lighting that minimizes the difference in lighting when entering or exiting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solid waste transfer station building shall have doors at each entrance and exit.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101.406(2)</w:t>
      </w:r>
      <w:r>
        <w:rPr>
          <w:rFonts w:ascii="Times New Roman" w:hAnsi="Times New Roman"/>
          <w:b w:val="false"/>
          <w:i w:val="false"/>
          <w:color w:val="000000"/>
          <w:sz w:val="22"/>
        </w:rPr>
        <w:t> </w:t>
      </w:r>
      <w:r>
        <w:rPr>
          <w:rFonts w:ascii="Times New Roman" w:hAnsi="Times New Roman"/>
          <w:b w:val="false"/>
          <w:i/>
          <w:color w:val="000000"/>
          <w:sz w:val="22"/>
        </w:rPr>
        <w:t xml:space="preserve">Other site design requirements. </w:t>
      </w:r>
      <w:r>
        <w:rPr>
          <w:rFonts w:ascii="Times New Roman" w:hAnsi="Times New Roman"/>
          <w:b w:val="false"/>
          <w:i w:val="false"/>
          <w:color w:val="000000"/>
          <w:sz w:val="22"/>
        </w:rPr>
        <w:t>A solid waste transfer station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a secure perimeter fence with lockable gate(s).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Use a scale certified by the Iowa department of agriculture and land stewardship. A solid waste transfer station may use a certified scale located off the premises and owned by a separate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 adequate queuing distance for vehicles entering and exiting the property such that lines of vehicles will not extend onto public streets during peak hours unless approved by the appropriate local or state government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Provide signs or pavement markings indicating safe and proper on-site traffic patterns.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01.40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