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permit requirements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as otherwise required by law, the following permit requirements shall apply to all sanitary landfills.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Operating permits.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MSWLF, construction and demolition debris, or industrial landfill operating permit shall be issued and may be renewed for a period no longer than five years. A coal combustion residuals landfill operating permit shall be issued and may be renewed for a period no longer than ten years. If an MSWLF adopts research, development, and demonstration (RD&amp;D) provisions 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101.104(2)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 MSWLF operating permit with RD&amp;D provisions shall be issued and may be renewed for a period no longer than three years.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Closure permits.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MSWLF or industrial landfill closure permit shall be issued for a period of 30 years. A coal combustion residuals landfill closure permit shall be issued for a period of ten years. A sanitary landfill requires a closure permit until the department determines that post-closure operations are no longer necessary. A request for a closure permit renewal or termination shall be filed at least 180 days before the expiration of the current permit. If the department finds that a sanitary landfill has completed all required post-closure activities and no longer presents a significant risk to human health or the environment, then the department shall issue written notification that a closure permit is no longer required for the facility. If the department extends the post-closure period, then the duration of the subsequent closure permit will be determined on a site-specific basis.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Mode="External" Target="https://www.legis.iowa.gov/docs/iac/rule/567.101.10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