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567—101.309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Financial assurance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owner or operator of a CCR landfill must establish financial assurance for closure, post-closure, and remedial action/mitigation plan, if applicable, in accordance with Division VIII of this chapter.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