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567—101.308</w:t>
      </w:r>
      <w:r>
        <w:rPr>
          <w:rFonts w:ascii="Times New Roman" w:hAnsi="Times New Roman"/>
          <w:b/>
          <w:i w:val="false"/>
          <w:color w:val="000000"/>
          <w:sz w:val="22"/>
        </w:rPr>
        <w:t xml:space="preserve">(455B) </w:t>
      </w:r>
      <w:r>
        <w:rPr>
          <w:rFonts w:ascii="Times New Roman" w:hAnsi="Times New Roman"/>
          <w:b/>
          <w:i w:val="false"/>
          <w:color w:val="000000"/>
          <w:sz w:val="22"/>
        </w:rPr>
        <w:t xml:space="preserve">Closure and post-closure requirements. </w:t>
      </w:r>
      <w:r>
        <w:rPr>
          <w:rFonts w:ascii="Times New Roman" w:hAnsi="Times New Roman"/>
          <w:b w:val="false"/>
          <w:i w:val="false"/>
          <w:color w:val="000000"/>
          <w:sz w:val="22"/>
        </w:rPr>
        <w:t>Unless otherwise specified within a permit, a CCR landfill shall close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101.308(1)</w:t>
      </w:r>
      <w:r>
        <w:rPr>
          <w:rFonts w:ascii="Times New Roman" w:hAnsi="Times New Roman"/>
          <w:b w:val="false"/>
          <w:i w:val="false"/>
          <w:color w:val="000000"/>
          <w:sz w:val="22"/>
        </w:rPr>
        <w:t> </w:t>
      </w:r>
      <w:r>
        <w:rPr>
          <w:rFonts w:ascii="Times New Roman" w:hAnsi="Times New Roman"/>
          <w:b w:val="false"/>
          <w:i w:val="false"/>
          <w:color w:val="000000"/>
          <w:sz w:val="22"/>
        </w:rPr>
        <w:t>A closure and post-closure plan shall be prepared and submitted to the department and include the actions that will be taken to close the site, final site contours and final cover design, stormwater controls and management, groundwater monitoring and reporting, permanent survey control, annual inspections, and contact information for post-closure monitoring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101.308(2)</w:t>
      </w:r>
      <w:r>
        <w:rPr>
          <w:rFonts w:ascii="Times New Roman" w:hAnsi="Times New Roman"/>
          <w:b w:val="false"/>
          <w:i w:val="false"/>
          <w:color w:val="000000"/>
          <w:sz w:val="22"/>
        </w:rPr>
        <w:t> </w:t>
      </w:r>
      <w:r>
        <w:rPr>
          <w:rFonts w:ascii="Times New Roman" w:hAnsi="Times New Roman"/>
          <w:b w:val="false"/>
          <w:i w:val="false"/>
          <w:color w:val="000000"/>
          <w:sz w:val="22"/>
        </w:rPr>
        <w:t>The final cover shall consist of not less than two feet of compacted soil and one foot of uncompacted soil capable of sustaining the growth of native vegetation. The slope of the final cover after closure shall be not less than 3 percent nor more than 25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