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567—101.307</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Groundwater monitoring and reporting. </w:t>
      </w:r>
      <w:r>
        <w:rPr>
          <w:rFonts w:ascii="Times New Roman" w:hAnsi="Times New Roman"/>
          <w:b w:val="false"/>
          <w:i w:val="false"/>
          <w:color w:val="000000"/>
          <w:sz w:val="22"/>
        </w:rPr>
        <w:t>Unless otherwise specified within a permit, the groundwater at a CCR landfill shall be monitored and reported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101.307(1)</w:t>
      </w:r>
      <w:r>
        <w:rPr>
          <w:rFonts w:ascii="Times New Roman" w:hAnsi="Times New Roman"/>
          <w:b w:val="false"/>
          <w:i w:val="false"/>
          <w:color w:val="000000"/>
          <w:sz w:val="22"/>
        </w:rPr>
        <w:t> </w:t>
      </w:r>
      <w:r>
        <w:rPr>
          <w:rFonts w:ascii="Times New Roman" w:hAnsi="Times New Roman"/>
          <w:b w:val="false"/>
          <w:i w:val="false"/>
          <w:color w:val="000000"/>
          <w:sz w:val="22"/>
        </w:rPr>
        <w:t>For all new solid waste units, the groundwater monitoring network shall be installed before waste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101.307(2)</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Quarterly sampling of all monitoring wells and analysis for the parameters specified in </w:t>
      </w:r>
      <w:hyperlink r:id="rId4">
        <w:r>
          <w:rPr>
            <w:rStyle w:val="Hyperlink"/>
            <w:rFonts w:ascii="Times New Roman" w:hAnsi="Times New Roman"/>
            <w:b w:val="false"/>
            <w:i w:val="false"/>
            <w:color w:val="000000"/>
            <w:sz w:val="22"/>
          </w:rPr>
          <w:t>101.304(4)</w:t>
        </w:r>
      </w:hyperlink>
      <w:r>
        <w:rPr>
          <w:rFonts w:ascii="Times New Roman" w:hAnsi="Times New Roman"/>
          <w:b w:val="false"/>
          <w:i w:val="false"/>
          <w:color w:val="000000"/>
          <w:sz w:val="22"/>
        </w:rPr>
        <w:t xml:space="preserve"> shall commence within one year of initiating waste placement for the purpose of establishing the average baseline concentrations for each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101.307(3)</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sampling of all monitoring wells for the parameters specified in </w:t>
      </w:r>
      <w:hyperlink r:id="rId5">
        <w:r>
          <w:rPr>
            <w:rStyle w:val="Hyperlink"/>
            <w:rFonts w:ascii="Times New Roman" w:hAnsi="Times New Roman"/>
            <w:b w:val="false"/>
            <w:i w:val="false"/>
            <w:color w:val="000000"/>
            <w:sz w:val="22"/>
          </w:rPr>
          <w:t>101.304(4)</w:t>
        </w:r>
      </w:hyperlink>
      <w:r>
        <w:rPr>
          <w:rFonts w:ascii="Times New Roman" w:hAnsi="Times New Roman"/>
          <w:b w:val="false"/>
          <w:i w:val="false"/>
          <w:color w:val="000000"/>
          <w:sz w:val="22"/>
        </w:rPr>
        <w:t xml:space="preserve"> shall commence within one year of completing the quarterly baseline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101.307(4)</w:t>
      </w:r>
      <w:r>
        <w:rPr>
          <w:rFonts w:ascii="Times New Roman" w:hAnsi="Times New Roman"/>
          <w:b w:val="false"/>
          <w:i w:val="false"/>
          <w:color w:val="000000"/>
          <w:sz w:val="22"/>
        </w:rPr>
        <w:t> </w:t>
      </w:r>
      <w:r>
        <w:rPr>
          <w:rFonts w:ascii="Times New Roman" w:hAnsi="Times New Roman"/>
          <w:b w:val="false"/>
          <w:i w:val="false"/>
          <w:color w:val="000000"/>
          <w:sz w:val="22"/>
        </w:rPr>
        <w:t>Additional sampling or a site assessment may be required by the department when there is an exceedance of any primary or secondary Maximum Contaminant Level (MCL), the Health Advisory Level (HAL), or the Drinking Water Standards and Health Advisories of the federal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101.307(5)</w:t>
      </w:r>
      <w:r>
        <w:rPr>
          <w:rFonts w:ascii="Times New Roman" w:hAnsi="Times New Roman"/>
          <w:b w:val="false"/>
          <w:i w:val="false"/>
          <w:color w:val="000000"/>
          <w:sz w:val="22"/>
        </w:rPr>
        <w:t> </w:t>
      </w:r>
      <w:r>
        <w:rPr>
          <w:rFonts w:ascii="Times New Roman" w:hAnsi="Times New Roman"/>
          <w:b w:val="false"/>
          <w:i w:val="false"/>
          <w:color w:val="000000"/>
          <w:sz w:val="22"/>
        </w:rPr>
        <w:t>When an MCL or HAL does not exist for a parameter, then the statewide standard for a protected drinking water source shall be used. If no statewide standard exists, then an analysis of available groundwater data for the parameter of concern must be prepared and submitted to the department to determine whether additional sampling or site assessment is required. The analysis shall include a comparison of the most recent sample result to the average of the most recent two years of data or utilize an alternative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101.307(6)</w:t>
      </w:r>
      <w:r>
        <w:rPr>
          <w:rFonts w:ascii="Times New Roman" w:hAnsi="Times New Roman"/>
          <w:b w:val="false"/>
          <w:i w:val="false"/>
          <w:color w:val="000000"/>
          <w:sz w:val="22"/>
        </w:rPr>
        <w:t> </w:t>
      </w:r>
      <w:r>
        <w:rPr>
          <w:rFonts w:ascii="Times New Roman" w:hAnsi="Times New Roman"/>
          <w:b w:val="false"/>
          <w:i w:val="false"/>
          <w:color w:val="000000"/>
          <w:sz w:val="22"/>
        </w:rPr>
        <w:t>A report of the groundwater monitoring results, including a site inspection, shall be submitted to the department by the end of the first year’s operation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101.307(7)</w:t>
      </w:r>
      <w:r>
        <w:rPr>
          <w:rFonts w:ascii="Times New Roman" w:hAnsi="Times New Roman"/>
          <w:b w:val="false"/>
          <w:i w:val="false"/>
          <w:color w:val="000000"/>
          <w:sz w:val="22"/>
        </w:rPr>
        <w:t> </w:t>
      </w:r>
      <w:r>
        <w:rPr>
          <w:rFonts w:ascii="Times New Roman" w:hAnsi="Times New Roman"/>
          <w:b w:val="false"/>
          <w:i w:val="false"/>
          <w:color w:val="000000"/>
          <w:sz w:val="22"/>
        </w:rPr>
        <w:t>A minimum of one sample from each monitoring well shall be collected annually during the post-closure period and analyzed for the parameters specified in the permit. The results shall be included in the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304.pdf" Type="http://schemas.openxmlformats.org/officeDocument/2006/relationships/hyperlink" Id="rId4"/>
    <Relationship TargetMode="External" Target="https://www.legis.iowa.gov/docs/iac/rule/567.101.3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