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567—101.306</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Unless otherwise specified within a permit, a CCR landfill shall be operated in accordance with the provisions of </w:t>
      </w:r>
      <w:hyperlink r:id="rId4">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(455B,455D). No wastes shall be deposited within 300 feet of an inhabitable residence or a commercial enterprise unless there is a written agreement with the property owner(s) allowing a lesser distance that has been filed with the local county recorder under the adjoining property or within 50 feet of the property boundary under any circumstances. An operations plan shall be prepared and submitted to the department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101.306(1)</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area(s) to be filled during the period for which a permit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101.306(2)</w:t>
      </w:r>
      <w:r>
        <w:rPr>
          <w:rFonts w:ascii="Times New Roman" w:hAnsi="Times New Roman"/>
          <w:b w:val="false"/>
          <w:i w:val="false"/>
          <w:color w:val="000000"/>
          <w:sz w:val="22"/>
        </w:rPr>
        <w:t> </w:t>
      </w:r>
      <w:r>
        <w:rPr>
          <w:rFonts w:ascii="Times New Roman" w:hAnsi="Times New Roman"/>
          <w:b w:val="false"/>
          <w:i w:val="false"/>
          <w:color w:val="000000"/>
          <w:sz w:val="22"/>
        </w:rPr>
        <w:t>The method(s) that will be utilized to prevent illicit municipal or putrescible solid wastes from being deposited as a result of mixing with authorized waste brought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101.306(3)</w:t>
      </w:r>
      <w:r>
        <w:rPr>
          <w:rFonts w:ascii="Times New Roman" w:hAnsi="Times New Roman"/>
          <w:b w:val="false"/>
          <w:i w:val="false"/>
          <w:color w:val="000000"/>
          <w:sz w:val="22"/>
        </w:rPr>
        <w:t> </w:t>
      </w:r>
      <w:r>
        <w:rPr>
          <w:rFonts w:ascii="Times New Roman" w:hAnsi="Times New Roman"/>
          <w:b w:val="false"/>
          <w:i w:val="false"/>
          <w:color w:val="000000"/>
          <w:sz w:val="22"/>
        </w:rPr>
        <w:t>The frequency, extent, and method of spreading and compacting the waste; the optimum layer thickness; and the size and slope of the operating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operating procedures from the arrival of waste to the site through unloading, placing, and closure to control fugitive dust, erosion, and contact water. If the methods used do not adequately control dust, contact water, and erosion, the department may require site-specific controls including a soil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101.306(5)</w:t>
      </w:r>
      <w:r>
        <w:rPr>
          <w:rFonts w:ascii="Times New Roman" w:hAnsi="Times New Roman"/>
          <w:b w:val="false"/>
          <w:i w:val="false"/>
          <w:color w:val="000000"/>
          <w:sz w:val="22"/>
        </w:rPr>
        <w:t> </w:t>
      </w:r>
      <w:r>
        <w:rPr>
          <w:rFonts w:ascii="Times New Roman" w:hAnsi="Times New Roman"/>
          <w:b w:val="false"/>
          <w:i w:val="false"/>
          <w:color w:val="000000"/>
          <w:sz w:val="22"/>
        </w:rPr>
        <w:t>Detailed procedures for the removal of waste from the CCR landfill for beneficial reuse,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101.306(6)</w:t>
      </w:r>
      <w:r>
        <w:rPr>
          <w:rFonts w:ascii="Times New Roman" w:hAnsi="Times New Roman"/>
          <w:b w:val="false"/>
          <w:i w:val="false"/>
          <w:color w:val="000000"/>
          <w:sz w:val="22"/>
        </w:rPr>
        <w:t> </w:t>
      </w:r>
      <w:r>
        <w:rPr>
          <w:rFonts w:ascii="Times New Roman" w:hAnsi="Times New Roman"/>
          <w:b w:val="false"/>
          <w:i w:val="false"/>
          <w:color w:val="000000"/>
          <w:sz w:val="22"/>
        </w:rPr>
        <w:t>Operating procedures for stormwater, contact water, and leachate management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