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567—101.304</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applications. </w:t>
      </w:r>
      <w:r>
        <w:rPr>
          <w:rFonts w:ascii="Times New Roman" w:hAnsi="Times New Roman"/>
          <w:b w:val="false"/>
          <w:i w:val="false"/>
          <w:color w:val="000000"/>
          <w:sz w:val="22"/>
        </w:rPr>
        <w:t xml:space="preserve">Unless otherwise authorized by the department, a permit applicant shall submit on a form prescribed by the department the requirements in </w:t>
      </w:r>
      <w:hyperlink r:id="rId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Division I of this chapter, and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written agreement under </w:t>
      </w:r>
      <w:hyperlink r:id="rId5">
        <w:r>
          <w:rPr>
            <w:rStyle w:val="Hyperlink"/>
            <w:rFonts w:ascii="Times New Roman" w:hAnsi="Times New Roman"/>
            <w:b w:val="false"/>
            <w:i w:val="false"/>
            <w:color w:val="000000"/>
            <w:sz w:val="22"/>
          </w:rPr>
          <w:t>567—101.306</w:t>
        </w:r>
      </w:hyperlink>
      <w:r>
        <w:rPr>
          <w:rFonts w:ascii="Times New Roman" w:hAnsi="Times New Roman"/>
          <w:b w:val="false"/>
          <w:i w:val="false"/>
          <w:color w:val="000000"/>
          <w:sz w:val="22"/>
        </w:rPr>
        <w:t>(455B), if any, and documentation that it has been filed with the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101.304(2)</w:t>
      </w:r>
      <w:r>
        <w:rPr>
          <w:rFonts w:ascii="Times New Roman" w:hAnsi="Times New Roman"/>
          <w:b w:val="false"/>
          <w:i w:val="false"/>
          <w:color w:val="000000"/>
          <w:sz w:val="22"/>
        </w:rPr>
        <w:t> </w:t>
      </w:r>
      <w:r>
        <w:rPr>
          <w:rFonts w:ascii="Times New Roman" w:hAnsi="Times New Roman"/>
          <w:b w:val="false"/>
          <w:i w:val="false"/>
          <w:color w:val="000000"/>
          <w:sz w:val="22"/>
        </w:rPr>
        <w:t>A topographic map of the site extending a minimum of 300 feet beyond the permitted property, with contour intervals not exceeding 10 feet, that shows the location of existing conditions, including but not limited to structures, wells, lakes, roads, drain tiles, or similar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101.304(3)</w:t>
      </w:r>
      <w:r>
        <w:rPr>
          <w:rFonts w:ascii="Times New Roman" w:hAnsi="Times New Roman"/>
          <w:b w:val="false"/>
          <w:i w:val="false"/>
          <w:color w:val="000000"/>
          <w:sz w:val="22"/>
        </w:rPr>
        <w:t> </w:t>
      </w:r>
      <w:r>
        <w:rPr>
          <w:rFonts w:ascii="Times New Roman" w:hAnsi="Times New Roman"/>
          <w:b w:val="false"/>
          <w:i w:val="false"/>
          <w:color w:val="000000"/>
          <w:sz w:val="22"/>
        </w:rPr>
        <w:t>A minimum of three soil borings for sites of ten acres or less with one additional boring for each additional three acres to determine the hydrogeologic conditions and establish the direction of groundwater flow, the depth to groundwater, and potential contaminant pathways throughout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101.304(4)</w:t>
      </w:r>
      <w:r>
        <w:rPr>
          <w:rFonts w:ascii="Times New Roman" w:hAnsi="Times New Roman"/>
          <w:b w:val="false"/>
          <w:i w:val="false"/>
          <w:color w:val="000000"/>
          <w:sz w:val="22"/>
        </w:rPr>
        <w:t> </w:t>
      </w:r>
      <w:r>
        <w:rPr>
          <w:rFonts w:ascii="Times New Roman" w:hAnsi="Times New Roman"/>
          <w:b w:val="false"/>
          <w:i w:val="false"/>
          <w:color w:val="000000"/>
          <w:sz w:val="22"/>
        </w:rPr>
        <w:t>An adequate number of representative groundwater sample results to fully characterize the groundwater quality both temporally and spatially at the site and establish baseline levels for the following analytical parameters: arsenic, barium, beryllium, cobalt, copper, iron, lead, magnesium, manganese, selenium, zinc, chlorides, and sulfate.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101.304(5)</w:t>
      </w:r>
      <w:r>
        <w:rPr>
          <w:rFonts w:ascii="Times New Roman" w:hAnsi="Times New Roman"/>
          <w:b w:val="false"/>
          <w:i w:val="false"/>
          <w:color w:val="000000"/>
          <w:sz w:val="22"/>
        </w:rPr>
        <w:t> </w:t>
      </w:r>
      <w:r>
        <w:rPr>
          <w:rFonts w:ascii="Times New Roman" w:hAnsi="Times New Roman"/>
          <w:b w:val="false"/>
          <w:i w:val="false"/>
          <w:color w:val="000000"/>
          <w:sz w:val="22"/>
        </w:rPr>
        <w:t>A groundwater monitoring network that includes sufficient upgradient and downgradient monitoring wells that adequately monitor the potential contaminant pathways throughout the life of the site and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101.304(6)</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detailing how the CCR landfill will be constructed, operated, and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101.304(7)</w:t>
      </w:r>
      <w:r>
        <w:rPr>
          <w:rFonts w:ascii="Times New Roman" w:hAnsi="Times New Roman"/>
          <w:b w:val="false"/>
          <w:i w:val="false"/>
          <w:color w:val="000000"/>
          <w:sz w:val="22"/>
        </w:rPr>
        <w:t> </w:t>
      </w:r>
      <w:r>
        <w:rPr>
          <w:rFonts w:ascii="Times New Roman" w:hAnsi="Times New Roman"/>
          <w:b w:val="false"/>
          <w:i w:val="false"/>
          <w:color w:val="000000"/>
          <w:sz w:val="22"/>
        </w:rPr>
        <w:t>An operations plan and a post-closure plan in accordance with the rules and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0.pdf" Type="http://schemas.openxmlformats.org/officeDocument/2006/relationships/hyperlink" Id="rId4"/>
    <Relationship TargetMode="External" Target="https://www.legis.iowa.gov/docs/iac/rule/567.101.3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