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567—101.301</w:t>
      </w:r>
      <w:r>
        <w:rPr>
          <w:rFonts w:ascii="Times New Roman" w:hAnsi="Times New Roman"/>
          <w:b/>
          <w:i w:val="false"/>
          <w:color w:val="000000"/>
          <w:sz w:val="22"/>
        </w:rPr>
        <w:t xml:space="preserve">(455B) </w:t>
      </w:r>
      <w:r>
        <w:rPr>
          <w:rFonts w:ascii="Times New Roman" w:hAnsi="Times New Roman"/>
          <w:b/>
          <w:i w:val="false"/>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101.301(1)</w:t>
      </w:r>
      <w:r>
        <w:rPr>
          <w:rFonts w:ascii="Times New Roman" w:hAnsi="Times New Roman"/>
          <w:b w:val="false"/>
          <w:i w:val="false"/>
          <w:color w:val="000000"/>
          <w:sz w:val="22"/>
        </w:rPr>
        <w:t> </w:t>
      </w:r>
      <w:r>
        <w:rPr>
          <w:rFonts w:ascii="Times New Roman" w:hAnsi="Times New Roman"/>
          <w:b w:val="false"/>
          <w:i w:val="false"/>
          <w:color w:val="000000"/>
          <w:sz w:val="22"/>
        </w:rPr>
        <w:t>This division shall apply to sanitary landfills that are constructed and operated exclusively for the final deposition of coal combustion residuals, known for purposes of this chapter as CCR landfills.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101.301(2)</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4">
        <w:r>
          <w:rPr>
            <w:rStyle w:val="Hyperlink"/>
            <w:rFonts w:ascii="Times New Roman" w:hAnsi="Times New Roman"/>
            <w:b w:val="false"/>
            <w:i w:val="false"/>
            <w:color w:val="000000"/>
            <w:sz w:val="22"/>
          </w:rPr>
          <w:t>455B.305(1)</w:t>
        </w:r>
      </w:hyperlink>
      <w:r>
        <w:rPr>
          <w:rFonts w:ascii="Times New Roman" w:hAnsi="Times New Roman"/>
          <w:b w:val="false"/>
          <w:i w:val="false"/>
          <w:color w:val="000000"/>
          <w:sz w:val="22"/>
        </w:rPr>
        <w:t xml:space="preserve">, a CCR landfill shall not be constructed or operated without first obtaining a permit from the department pursuant to this division, the requirements set forth in </w:t>
      </w:r>
      <w:hyperlink r:id="rId5">
        <w:r>
          <w:rPr>
            <w:rStyle w:val="Hyperlink"/>
            <w:rFonts w:ascii="Times New Roman" w:hAnsi="Times New Roman"/>
            <w:b w:val="false"/>
            <w:i w:val="false"/>
            <w:color w:val="000000"/>
            <w:sz w:val="22"/>
          </w:rPr>
          <w:t>567—Chapter 100</w:t>
        </w:r>
      </w:hyperlink>
      <w:r>
        <w:rPr>
          <w:rFonts w:ascii="Times New Roman" w:hAnsi="Times New Roman"/>
          <w:b w:val="false"/>
          <w:i w:val="false"/>
          <w:color w:val="000000"/>
          <w:sz w:val="22"/>
        </w:rPr>
        <w:t>, and Division I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101.301(3)</w:t>
      </w:r>
      <w:r>
        <w:rPr>
          <w:rFonts w:ascii="Times New Roman" w:hAnsi="Times New Roman"/>
          <w:b w:val="false"/>
          <w:i w:val="false"/>
          <w:color w:val="000000"/>
          <w:sz w:val="22"/>
        </w:rPr>
        <w:t> </w:t>
      </w:r>
      <w:r>
        <w:rPr>
          <w:rFonts w:ascii="Times New Roman" w:hAnsi="Times New Roman"/>
          <w:b w:val="false"/>
          <w:i w:val="false"/>
          <w:color w:val="000000"/>
          <w:sz w:val="22"/>
        </w:rPr>
        <w:t>The issuance of a permit to a CCR landfill pursuant to this division in no way relieves the applicant of the responsibility of complying with all other local, state, or federal statutes, ordinances, and rules or other requirements applicable to the construction and operation of a CCR landfill.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101.301(4)</w:t>
      </w:r>
      <w:r>
        <w:rPr>
          <w:rFonts w:ascii="Times New Roman" w:hAnsi="Times New Roman"/>
          <w:b w:val="false"/>
          <w:i w:val="false"/>
          <w:color w:val="000000"/>
          <w:sz w:val="22"/>
        </w:rPr>
        <w:t> </w:t>
      </w:r>
      <w:r>
        <w:rPr>
          <w:rFonts w:ascii="Times New Roman" w:hAnsi="Times New Roman"/>
          <w:b w:val="false"/>
          <w:i w:val="false"/>
          <w:color w:val="000000"/>
          <w:sz w:val="22"/>
        </w:rPr>
        <w:t>All rules, standards, technical guidance, and other similar legal or technical documents referenced in this division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55B.305.pdf" Type="http://schemas.openxmlformats.org/officeDocument/2006/relationships/hyperlink" Id="rId4"/>
    <Relationship TargetMode="External" Target="https://www.legis.iowa.gov/docs/iac/chapter/567.100.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