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567—101.214</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101.214(1)</w:t>
      </w:r>
      <w:r>
        <w:rPr>
          <w:rFonts w:ascii="Times New Roman" w:hAnsi="Times New Roman"/>
          <w:b w:val="false"/>
          <w:i w:val="false"/>
          <w:color w:val="000000"/>
          <w:sz w:val="22"/>
        </w:rPr>
        <w:t> </w:t>
      </w:r>
      <w:r>
        <w:rPr>
          <w:rFonts w:ascii="Times New Roman" w:hAnsi="Times New Roman"/>
          <w:b w:val="false"/>
          <w:i w:val="false"/>
          <w:color w:val="000000"/>
          <w:sz w:val="22"/>
        </w:rPr>
        <w:t>Open burning shall be prohibited within the permitted boundary.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101.214(2)</w:t>
      </w:r>
      <w:r>
        <w:rPr>
          <w:rFonts w:ascii="Times New Roman" w:hAnsi="Times New Roman"/>
          <w:b w:val="false"/>
          <w:i w:val="false"/>
          <w:color w:val="000000"/>
          <w:sz w:val="22"/>
        </w:rPr>
        <w:t> </w:t>
      </w:r>
      <w:r>
        <w:rPr>
          <w:rFonts w:ascii="Times New Roman" w:hAnsi="Times New Roman"/>
          <w:b w:val="false"/>
          <w:i w:val="false"/>
          <w:color w:val="000000"/>
          <w:sz w:val="22"/>
        </w:rPr>
        <w:t>No free liquids or waste containing free liquids shall be disposed of in an industrial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101.214(3)</w:t>
      </w:r>
      <w:r>
        <w:rPr>
          <w:rFonts w:ascii="Times New Roman" w:hAnsi="Times New Roman"/>
          <w:b w:val="false"/>
          <w:i w:val="false"/>
          <w:color w:val="000000"/>
          <w:sz w:val="22"/>
        </w:rPr>
        <w:t> </w:t>
      </w:r>
      <w:r>
        <w:rPr>
          <w:rFonts w:ascii="Times New Roman" w:hAnsi="Times New Roman"/>
          <w:b w:val="false"/>
          <w:i w:val="false"/>
          <w:color w:val="000000"/>
          <w:sz w:val="22"/>
        </w:rPr>
        <w:t>Each permit issued by the department will contain facility-specific operating requirements consistent with the type of solid waste and the disposal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101.214(4)</w:t>
      </w:r>
      <w:r>
        <w:rPr>
          <w:rFonts w:ascii="Times New Roman" w:hAnsi="Times New Roman"/>
          <w:b w:val="false"/>
          <w:i w:val="false"/>
          <w:color w:val="000000"/>
          <w:sz w:val="22"/>
        </w:rPr>
        <w:t> </w:t>
      </w:r>
      <w:r>
        <w:rPr>
          <w:rFonts w:ascii="Times New Roman" w:hAnsi="Times New Roman"/>
          <w:b w:val="false"/>
          <w:i w:val="false"/>
          <w:color w:val="000000"/>
          <w:sz w:val="22"/>
        </w:rPr>
        <w:t>Closure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notify the department in writing at least 180 days prior to closure of the facility or suspension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of closure shall be posted at the facility at least 180 days prior to closure indicating the date of closure and alternative solid waste management facilities. Notice of closure shall also be published at least 180 days prior to closure in a newspaper of local circulation. This notice shall include the date of closure and alternative solid waste management facilities if the facility is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Implementation of the closure/post-closure plan shall be completed within 90 days of the closure of the facility. The owner and an Iowa-licensed professional engineer shall certify that the closure/post-closure plan has been implemented in compliance with the rules, the closure/post-closure plan, and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closure activities, a construction certification report must be submitted discussing quality assurance and quality control testing done to ensure that all materials for the cap have been placed in accordance with the approved engineering plans, reports, and specifications. The results of all testing must be included, along with documentation of any failed tests, a description of the procedures used to correct the failures, and results of any retesting performed. In addition, the following documentation shall be submitted: as-built plans showing changes from the original design plans, a copy of the notation filed with the county recorder, and other forms of documentation as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